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49" w:rsidRDefault="00D11F49" w:rsidP="006C3FC8">
      <w:pPr>
        <w:tabs>
          <w:tab w:val="left" w:pos="90"/>
        </w:tabs>
        <w:spacing w:before="240" w:after="0"/>
        <w:ind w:firstLine="567"/>
        <w:jc w:val="center"/>
        <w:rPr>
          <w:rFonts w:ascii="Sylfaen" w:hAnsi="Sylfaen" w:cs="Sylfaen"/>
          <w:b/>
          <w:sz w:val="36"/>
          <w:szCs w:val="36"/>
          <w:lang w:val="ka-GE"/>
        </w:rPr>
      </w:pPr>
    </w:p>
    <w:p w:rsidR="008C16B6" w:rsidRDefault="008C16B6" w:rsidP="006C3FC8">
      <w:pPr>
        <w:tabs>
          <w:tab w:val="left" w:pos="90"/>
        </w:tabs>
        <w:spacing w:before="240" w:after="0"/>
        <w:ind w:firstLine="567"/>
        <w:jc w:val="center"/>
        <w:rPr>
          <w:rFonts w:ascii="Sylfaen" w:hAnsi="Sylfaen" w:cs="Sylfaen"/>
          <w:b/>
          <w:sz w:val="36"/>
          <w:szCs w:val="36"/>
          <w:lang w:val="ka-GE"/>
        </w:rPr>
      </w:pPr>
    </w:p>
    <w:p w:rsidR="006E0C53" w:rsidRDefault="006E0C53" w:rsidP="006C3FC8">
      <w:pPr>
        <w:tabs>
          <w:tab w:val="left" w:pos="90"/>
        </w:tabs>
        <w:spacing w:before="240" w:after="0"/>
        <w:ind w:firstLine="567"/>
        <w:jc w:val="center"/>
        <w:rPr>
          <w:rFonts w:ascii="Sylfaen" w:hAnsi="Sylfaen" w:cs="Sylfaen"/>
          <w:b/>
          <w:sz w:val="36"/>
          <w:szCs w:val="36"/>
          <w:lang w:val="ka-GE"/>
        </w:rPr>
      </w:pPr>
    </w:p>
    <w:p w:rsidR="006E0C53" w:rsidRDefault="006E0C53" w:rsidP="006C3FC8">
      <w:pPr>
        <w:tabs>
          <w:tab w:val="left" w:pos="90"/>
        </w:tabs>
        <w:spacing w:before="240" w:after="0"/>
        <w:ind w:firstLine="567"/>
        <w:jc w:val="center"/>
        <w:rPr>
          <w:rFonts w:ascii="Sylfaen" w:hAnsi="Sylfaen" w:cs="Sylfaen"/>
          <w:b/>
          <w:sz w:val="36"/>
          <w:szCs w:val="36"/>
          <w:lang w:val="ka-GE"/>
        </w:rPr>
      </w:pPr>
    </w:p>
    <w:p w:rsidR="006E0C53" w:rsidRDefault="006E0C53" w:rsidP="006C3FC8">
      <w:pPr>
        <w:tabs>
          <w:tab w:val="left" w:pos="90"/>
        </w:tabs>
        <w:spacing w:before="240" w:after="0"/>
        <w:ind w:firstLine="567"/>
        <w:jc w:val="center"/>
        <w:rPr>
          <w:rFonts w:ascii="Sylfaen" w:hAnsi="Sylfaen" w:cs="Sylfaen"/>
          <w:b/>
          <w:sz w:val="36"/>
          <w:szCs w:val="36"/>
          <w:lang w:val="ka-GE"/>
        </w:rPr>
      </w:pPr>
    </w:p>
    <w:p w:rsidR="006E0C53" w:rsidRDefault="006E0C53" w:rsidP="006C3FC8">
      <w:pPr>
        <w:tabs>
          <w:tab w:val="left" w:pos="90"/>
        </w:tabs>
        <w:spacing w:before="240" w:after="0"/>
        <w:ind w:firstLine="567"/>
        <w:jc w:val="center"/>
        <w:rPr>
          <w:rFonts w:ascii="Sylfaen" w:hAnsi="Sylfaen" w:cs="Sylfaen"/>
          <w:b/>
          <w:sz w:val="36"/>
          <w:szCs w:val="36"/>
          <w:lang w:val="ka-GE"/>
        </w:rPr>
      </w:pPr>
    </w:p>
    <w:p w:rsidR="006E0C53" w:rsidRDefault="006E0C53" w:rsidP="006C3FC8">
      <w:pPr>
        <w:tabs>
          <w:tab w:val="left" w:pos="90"/>
        </w:tabs>
        <w:spacing w:before="240" w:after="0"/>
        <w:ind w:firstLine="567"/>
        <w:jc w:val="center"/>
        <w:rPr>
          <w:rFonts w:ascii="Sylfaen" w:hAnsi="Sylfaen" w:cs="Sylfaen"/>
          <w:b/>
          <w:sz w:val="36"/>
          <w:szCs w:val="36"/>
          <w:lang w:val="ka-GE"/>
        </w:rPr>
      </w:pPr>
    </w:p>
    <w:p w:rsidR="00C719B9" w:rsidRPr="00667335" w:rsidRDefault="003D5829" w:rsidP="005B27CD">
      <w:pPr>
        <w:spacing w:before="240"/>
        <w:jc w:val="center"/>
        <w:rPr>
          <w:rFonts w:ascii="Sylfaen" w:hAnsi="Sylfaen" w:cs="Calibri"/>
          <w:b/>
          <w:color w:val="17365D" w:themeColor="text2" w:themeShade="BF"/>
          <w:sz w:val="28"/>
          <w:szCs w:val="28"/>
          <w:lang w:val="ka-GE"/>
        </w:rPr>
      </w:pPr>
      <w:r w:rsidRPr="00667335">
        <w:rPr>
          <w:rFonts w:ascii="Sylfaen" w:hAnsi="Sylfaen" w:cs="Calibri"/>
          <w:b/>
          <w:color w:val="17365D" w:themeColor="text2" w:themeShade="BF"/>
          <w:sz w:val="28"/>
          <w:szCs w:val="28"/>
          <w:lang w:val="ka-GE"/>
        </w:rPr>
        <w:t>„</w:t>
      </w:r>
      <w:proofErr w:type="spellStart"/>
      <w:r w:rsidR="00C719B9" w:rsidRPr="00667335">
        <w:rPr>
          <w:rFonts w:ascii="Sylfaen" w:hAnsi="Sylfaen" w:cs="Calibri"/>
          <w:b/>
          <w:color w:val="17365D" w:themeColor="text2" w:themeShade="BF"/>
          <w:sz w:val="28"/>
          <w:szCs w:val="28"/>
        </w:rPr>
        <w:t>ინკურაბელურ</w:t>
      </w:r>
      <w:proofErr w:type="spellEnd"/>
      <w:r w:rsidR="00C719B9" w:rsidRPr="00667335">
        <w:rPr>
          <w:rFonts w:ascii="Sylfaen" w:hAnsi="Sylfaen" w:cs="Calibri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="00C719B9" w:rsidRPr="00667335">
        <w:rPr>
          <w:rFonts w:ascii="Sylfaen" w:hAnsi="Sylfaen" w:cs="Calibri"/>
          <w:b/>
          <w:color w:val="17365D" w:themeColor="text2" w:themeShade="BF"/>
          <w:sz w:val="28"/>
          <w:szCs w:val="28"/>
        </w:rPr>
        <w:t>პაციენტთა</w:t>
      </w:r>
      <w:proofErr w:type="spellEnd"/>
      <w:r w:rsidR="00C719B9" w:rsidRPr="00667335">
        <w:rPr>
          <w:rFonts w:ascii="Sylfaen" w:hAnsi="Sylfaen" w:cs="Calibri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="00C719B9" w:rsidRPr="00667335">
        <w:rPr>
          <w:rFonts w:ascii="Sylfaen" w:hAnsi="Sylfaen" w:cs="Calibri"/>
          <w:b/>
          <w:color w:val="17365D" w:themeColor="text2" w:themeShade="BF"/>
          <w:sz w:val="28"/>
          <w:szCs w:val="28"/>
        </w:rPr>
        <w:t>პალიატიური</w:t>
      </w:r>
      <w:proofErr w:type="spellEnd"/>
      <w:r w:rsidR="00C719B9" w:rsidRPr="00667335">
        <w:rPr>
          <w:rFonts w:ascii="Sylfaen" w:hAnsi="Sylfaen" w:cs="Calibri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="00C719B9" w:rsidRPr="00667335">
        <w:rPr>
          <w:rFonts w:ascii="Sylfaen" w:hAnsi="Sylfaen" w:cs="Calibri"/>
          <w:b/>
          <w:color w:val="17365D" w:themeColor="text2" w:themeShade="BF"/>
          <w:sz w:val="28"/>
          <w:szCs w:val="28"/>
        </w:rPr>
        <w:t>მზრუნველობ</w:t>
      </w:r>
      <w:proofErr w:type="spellEnd"/>
      <w:r w:rsidR="00C719B9" w:rsidRPr="00667335">
        <w:rPr>
          <w:rFonts w:ascii="Sylfaen" w:hAnsi="Sylfaen" w:cs="Calibri"/>
          <w:b/>
          <w:color w:val="17365D" w:themeColor="text2" w:themeShade="BF"/>
          <w:sz w:val="28"/>
          <w:szCs w:val="28"/>
          <w:lang w:val="ka-GE"/>
        </w:rPr>
        <w:t>ის“</w:t>
      </w:r>
      <w:r w:rsidR="002D04DD" w:rsidRPr="00667335">
        <w:rPr>
          <w:rFonts w:ascii="Sylfaen" w:hAnsi="Sylfaen" w:cs="Calibri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C719B9" w:rsidRPr="00667335">
        <w:rPr>
          <w:rFonts w:ascii="Sylfaen" w:hAnsi="Sylfaen" w:cs="Calibri"/>
          <w:b/>
          <w:color w:val="17365D" w:themeColor="text2" w:themeShade="BF"/>
          <w:sz w:val="28"/>
          <w:szCs w:val="28"/>
          <w:lang w:val="ka-GE"/>
        </w:rPr>
        <w:t>სახელმწიფო პროგრამის შესაბამისობის</w:t>
      </w:r>
      <w:r w:rsidR="002D04DD" w:rsidRPr="00667335">
        <w:rPr>
          <w:rFonts w:ascii="Sylfaen" w:hAnsi="Sylfaen" w:cs="Calibri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C719B9" w:rsidRPr="00667335">
        <w:rPr>
          <w:rFonts w:ascii="Sylfaen" w:hAnsi="Sylfaen" w:cs="Calibri"/>
          <w:b/>
          <w:color w:val="17365D" w:themeColor="text2" w:themeShade="BF"/>
          <w:sz w:val="28"/>
          <w:szCs w:val="28"/>
          <w:lang w:val="ka-GE"/>
        </w:rPr>
        <w:t>აუდიტი</w:t>
      </w:r>
      <w:r w:rsidR="002D04DD" w:rsidRPr="00667335">
        <w:rPr>
          <w:rFonts w:ascii="Sylfaen" w:hAnsi="Sylfaen" w:cs="Calibri"/>
          <w:b/>
          <w:color w:val="17365D" w:themeColor="text2" w:themeShade="BF"/>
          <w:sz w:val="28"/>
          <w:szCs w:val="28"/>
          <w:lang w:val="ka-GE"/>
        </w:rPr>
        <w:t>ს ანგარიში</w:t>
      </w:r>
    </w:p>
    <w:p w:rsidR="002D04DD" w:rsidRPr="00667335" w:rsidRDefault="002D04DD" w:rsidP="005B27CD">
      <w:pPr>
        <w:spacing w:before="240"/>
        <w:jc w:val="center"/>
        <w:rPr>
          <w:b/>
          <w:color w:val="17365D" w:themeColor="text2" w:themeShade="BF"/>
          <w:sz w:val="28"/>
          <w:szCs w:val="28"/>
          <w:lang w:val="ka-GE"/>
        </w:rPr>
      </w:pPr>
    </w:p>
    <w:p w:rsidR="006E0C53" w:rsidRPr="00667335" w:rsidRDefault="005B27CD" w:rsidP="005B27CD">
      <w:pPr>
        <w:tabs>
          <w:tab w:val="left" w:pos="90"/>
        </w:tabs>
        <w:spacing w:before="240" w:after="0"/>
        <w:jc w:val="center"/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</w:pPr>
      <w:r w:rsidRPr="00667335">
        <w:rPr>
          <w:rFonts w:ascii="Sylfaen" w:hAnsi="Sylfaen"/>
          <w:b/>
          <w:color w:val="17365D" w:themeColor="text2" w:themeShade="BF"/>
          <w:sz w:val="24"/>
          <w:szCs w:val="24"/>
          <w:lang w:val="ka-GE"/>
        </w:rPr>
        <w:t>2016 წლის 1 იანვარი - 2016 წლის 1 ოქტომბერი</w:t>
      </w:r>
    </w:p>
    <w:p w:rsidR="006E0C53" w:rsidRDefault="006E0C53" w:rsidP="006C3FC8">
      <w:pPr>
        <w:tabs>
          <w:tab w:val="left" w:pos="90"/>
        </w:tabs>
        <w:spacing w:before="240" w:after="0"/>
        <w:ind w:firstLine="567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6E0C53" w:rsidRDefault="006E0C53" w:rsidP="006C3FC8">
      <w:pPr>
        <w:tabs>
          <w:tab w:val="left" w:pos="90"/>
        </w:tabs>
        <w:spacing w:before="240" w:after="0"/>
        <w:ind w:firstLine="567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6E0C53" w:rsidRDefault="006E0C53" w:rsidP="006C3FC8">
      <w:pPr>
        <w:tabs>
          <w:tab w:val="left" w:pos="90"/>
        </w:tabs>
        <w:spacing w:before="240" w:after="0"/>
        <w:ind w:firstLine="567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6E0C53" w:rsidRDefault="006E0C53" w:rsidP="006C3FC8">
      <w:pPr>
        <w:tabs>
          <w:tab w:val="left" w:pos="90"/>
        </w:tabs>
        <w:spacing w:before="240" w:after="0"/>
        <w:ind w:firstLine="567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5B27CD" w:rsidRDefault="005B27CD" w:rsidP="006C3FC8">
      <w:pPr>
        <w:tabs>
          <w:tab w:val="left" w:pos="90"/>
        </w:tabs>
        <w:spacing w:before="240" w:after="0"/>
        <w:ind w:firstLine="567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5B27CD" w:rsidRDefault="005B27CD" w:rsidP="006C3FC8">
      <w:pPr>
        <w:tabs>
          <w:tab w:val="left" w:pos="90"/>
        </w:tabs>
        <w:spacing w:before="240" w:after="0"/>
        <w:ind w:firstLine="567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5B27CD" w:rsidRDefault="005B27CD" w:rsidP="006C3FC8">
      <w:pPr>
        <w:tabs>
          <w:tab w:val="left" w:pos="90"/>
        </w:tabs>
        <w:spacing w:before="240" w:after="0"/>
        <w:ind w:firstLine="567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5B27CD" w:rsidRDefault="005B27CD" w:rsidP="006C3FC8">
      <w:pPr>
        <w:tabs>
          <w:tab w:val="left" w:pos="90"/>
        </w:tabs>
        <w:spacing w:before="240" w:after="0"/>
        <w:ind w:firstLine="567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2C2259" w:rsidRPr="00394397" w:rsidRDefault="002C2259" w:rsidP="00667335">
      <w:pPr>
        <w:tabs>
          <w:tab w:val="left" w:pos="90"/>
        </w:tabs>
        <w:spacing w:before="240" w:after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394397">
        <w:rPr>
          <w:rFonts w:ascii="Sylfaen" w:eastAsia="Sylfaen" w:hAnsi="Sylfaen"/>
          <w:b/>
          <w:sz w:val="24"/>
          <w:szCs w:val="24"/>
          <w:lang w:val="ka-GE"/>
        </w:rPr>
        <w:lastRenderedPageBreak/>
        <w:t xml:space="preserve">აუდიტის საფუძველი: </w:t>
      </w:r>
      <w:r w:rsidR="006C6867" w:rsidRPr="00394397">
        <w:rPr>
          <w:rFonts w:ascii="Sylfaen" w:eastAsia="Sylfaen" w:hAnsi="Sylfaen"/>
          <w:b/>
          <w:sz w:val="24"/>
          <w:szCs w:val="24"/>
          <w:lang w:val="ka-GE"/>
        </w:rPr>
        <w:t>,,</w:t>
      </w:r>
      <w:proofErr w:type="spellStart"/>
      <w:r w:rsidR="00C719B9" w:rsidRPr="0039439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C719B9" w:rsidRPr="00394397">
        <w:rPr>
          <w:sz w:val="24"/>
          <w:szCs w:val="24"/>
        </w:rPr>
        <w:t xml:space="preserve"> </w:t>
      </w:r>
      <w:proofErr w:type="spellStart"/>
      <w:r w:rsidR="00C719B9" w:rsidRPr="00394397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C719B9" w:rsidRPr="00394397">
        <w:rPr>
          <w:sz w:val="24"/>
          <w:szCs w:val="24"/>
        </w:rPr>
        <w:t xml:space="preserve">, </w:t>
      </w:r>
      <w:proofErr w:type="spellStart"/>
      <w:r w:rsidR="00C719B9" w:rsidRPr="00394397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="00C719B9" w:rsidRPr="00394397">
        <w:rPr>
          <w:sz w:val="24"/>
          <w:szCs w:val="24"/>
        </w:rPr>
        <w:t xml:space="preserve"> </w:t>
      </w:r>
      <w:proofErr w:type="spellStart"/>
      <w:r w:rsidR="00C719B9" w:rsidRPr="00394397">
        <w:rPr>
          <w:rFonts w:ascii="Sylfaen" w:hAnsi="Sylfaen" w:cs="Sylfaen"/>
          <w:sz w:val="24"/>
          <w:szCs w:val="24"/>
        </w:rPr>
        <w:t>და</w:t>
      </w:r>
      <w:proofErr w:type="spellEnd"/>
      <w:r w:rsidR="00C719B9" w:rsidRPr="00394397">
        <w:rPr>
          <w:sz w:val="24"/>
          <w:szCs w:val="24"/>
        </w:rPr>
        <w:t xml:space="preserve"> </w:t>
      </w:r>
      <w:proofErr w:type="spellStart"/>
      <w:r w:rsidR="00C719B9" w:rsidRPr="00394397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="00C719B9" w:rsidRPr="00394397">
        <w:rPr>
          <w:sz w:val="24"/>
          <w:szCs w:val="24"/>
        </w:rPr>
        <w:t xml:space="preserve"> </w:t>
      </w:r>
      <w:proofErr w:type="spellStart"/>
      <w:r w:rsidR="00C719B9" w:rsidRPr="00394397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C719B9" w:rsidRPr="00394397">
        <w:rPr>
          <w:sz w:val="24"/>
          <w:szCs w:val="24"/>
        </w:rPr>
        <w:t xml:space="preserve"> </w:t>
      </w:r>
      <w:proofErr w:type="spellStart"/>
      <w:r w:rsidR="00C719B9" w:rsidRPr="00394397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="00C719B9" w:rsidRPr="00394397">
        <w:rPr>
          <w:sz w:val="24"/>
          <w:szCs w:val="24"/>
        </w:rPr>
        <w:t xml:space="preserve"> </w:t>
      </w:r>
      <w:proofErr w:type="spellStart"/>
      <w:r w:rsidR="00C719B9" w:rsidRPr="00394397">
        <w:rPr>
          <w:rFonts w:ascii="Sylfaen" w:hAnsi="Sylfaen" w:cs="Sylfaen"/>
          <w:sz w:val="24"/>
          <w:szCs w:val="24"/>
        </w:rPr>
        <w:t>შიდა</w:t>
      </w:r>
      <w:proofErr w:type="spellEnd"/>
      <w:r w:rsidR="00C719B9" w:rsidRPr="00394397">
        <w:rPr>
          <w:sz w:val="24"/>
          <w:szCs w:val="24"/>
        </w:rPr>
        <w:t xml:space="preserve"> </w:t>
      </w:r>
      <w:proofErr w:type="spellStart"/>
      <w:r w:rsidR="00C719B9" w:rsidRPr="00394397">
        <w:rPr>
          <w:rFonts w:ascii="Sylfaen" w:hAnsi="Sylfaen" w:cs="Sylfaen"/>
          <w:sz w:val="24"/>
          <w:szCs w:val="24"/>
        </w:rPr>
        <w:t>აუდიტის</w:t>
      </w:r>
      <w:proofErr w:type="spellEnd"/>
      <w:r w:rsidR="00C719B9" w:rsidRPr="00394397">
        <w:rPr>
          <w:sz w:val="24"/>
          <w:szCs w:val="24"/>
        </w:rPr>
        <w:t xml:space="preserve"> </w:t>
      </w:r>
      <w:proofErr w:type="spellStart"/>
      <w:r w:rsidR="00C719B9" w:rsidRPr="00394397">
        <w:rPr>
          <w:rFonts w:ascii="Sylfaen" w:hAnsi="Sylfaen" w:cs="Sylfaen"/>
          <w:sz w:val="24"/>
          <w:szCs w:val="24"/>
        </w:rPr>
        <w:t>დეპარტამენტის</w:t>
      </w:r>
      <w:proofErr w:type="spellEnd"/>
      <w:r w:rsidR="00C719B9" w:rsidRPr="00394397">
        <w:rPr>
          <w:sz w:val="24"/>
          <w:szCs w:val="24"/>
        </w:rPr>
        <w:t xml:space="preserve"> 2016 </w:t>
      </w:r>
      <w:proofErr w:type="spellStart"/>
      <w:r w:rsidR="00C719B9" w:rsidRPr="00394397">
        <w:rPr>
          <w:rFonts w:ascii="Sylfaen" w:hAnsi="Sylfaen" w:cs="Sylfaen"/>
          <w:sz w:val="24"/>
          <w:szCs w:val="24"/>
        </w:rPr>
        <w:t>წლის</w:t>
      </w:r>
      <w:proofErr w:type="spellEnd"/>
      <w:r w:rsidR="00C719B9" w:rsidRPr="00394397">
        <w:rPr>
          <w:sz w:val="24"/>
          <w:szCs w:val="24"/>
        </w:rPr>
        <w:t xml:space="preserve"> </w:t>
      </w:r>
      <w:proofErr w:type="spellStart"/>
      <w:r w:rsidR="00C719B9" w:rsidRPr="00394397">
        <w:rPr>
          <w:rFonts w:ascii="Sylfaen" w:hAnsi="Sylfaen" w:cs="Sylfaen"/>
          <w:sz w:val="24"/>
          <w:szCs w:val="24"/>
        </w:rPr>
        <w:t>წლიური</w:t>
      </w:r>
      <w:proofErr w:type="spellEnd"/>
      <w:r w:rsidR="00C719B9" w:rsidRPr="00394397">
        <w:rPr>
          <w:sz w:val="24"/>
          <w:szCs w:val="24"/>
        </w:rPr>
        <w:t xml:space="preserve"> </w:t>
      </w:r>
      <w:proofErr w:type="spellStart"/>
      <w:r w:rsidR="00C719B9" w:rsidRPr="00394397">
        <w:rPr>
          <w:rFonts w:ascii="Sylfaen" w:hAnsi="Sylfaen" w:cs="Sylfaen"/>
          <w:sz w:val="24"/>
          <w:szCs w:val="24"/>
        </w:rPr>
        <w:t>გეგმისა</w:t>
      </w:r>
      <w:proofErr w:type="spellEnd"/>
      <w:r w:rsidR="00C719B9" w:rsidRPr="00394397">
        <w:rPr>
          <w:sz w:val="24"/>
          <w:szCs w:val="24"/>
        </w:rPr>
        <w:t xml:space="preserve"> </w:t>
      </w:r>
      <w:proofErr w:type="spellStart"/>
      <w:r w:rsidR="00C719B9" w:rsidRPr="00394397">
        <w:rPr>
          <w:rFonts w:ascii="Sylfaen" w:hAnsi="Sylfaen" w:cs="Sylfaen"/>
          <w:sz w:val="24"/>
          <w:szCs w:val="24"/>
        </w:rPr>
        <w:t>და</w:t>
      </w:r>
      <w:proofErr w:type="spellEnd"/>
      <w:r w:rsidR="00C719B9" w:rsidRPr="00394397">
        <w:rPr>
          <w:sz w:val="24"/>
          <w:szCs w:val="24"/>
        </w:rPr>
        <w:t xml:space="preserve"> 2016-2018 </w:t>
      </w:r>
      <w:proofErr w:type="spellStart"/>
      <w:r w:rsidR="00C719B9" w:rsidRPr="00394397">
        <w:rPr>
          <w:rFonts w:ascii="Sylfaen" w:hAnsi="Sylfaen" w:cs="Sylfaen"/>
          <w:sz w:val="24"/>
          <w:szCs w:val="24"/>
        </w:rPr>
        <w:t>წლების</w:t>
      </w:r>
      <w:proofErr w:type="spellEnd"/>
      <w:r w:rsidR="00C719B9" w:rsidRPr="00394397">
        <w:rPr>
          <w:sz w:val="24"/>
          <w:szCs w:val="24"/>
        </w:rPr>
        <w:t xml:space="preserve"> </w:t>
      </w:r>
      <w:proofErr w:type="spellStart"/>
      <w:r w:rsidR="00C719B9" w:rsidRPr="00394397">
        <w:rPr>
          <w:rFonts w:ascii="Sylfaen" w:hAnsi="Sylfaen" w:cs="Sylfaen"/>
          <w:sz w:val="24"/>
          <w:szCs w:val="24"/>
        </w:rPr>
        <w:t>სტრატეგიული</w:t>
      </w:r>
      <w:proofErr w:type="spellEnd"/>
      <w:r w:rsidR="00C719B9" w:rsidRPr="00394397">
        <w:rPr>
          <w:sz w:val="24"/>
          <w:szCs w:val="24"/>
        </w:rPr>
        <w:t xml:space="preserve"> </w:t>
      </w:r>
      <w:proofErr w:type="spellStart"/>
      <w:r w:rsidR="00C719B9" w:rsidRPr="00394397">
        <w:rPr>
          <w:rFonts w:ascii="Sylfaen" w:hAnsi="Sylfaen" w:cs="Sylfaen"/>
          <w:sz w:val="24"/>
          <w:szCs w:val="24"/>
        </w:rPr>
        <w:t>გეგმის</w:t>
      </w:r>
      <w:proofErr w:type="spellEnd"/>
      <w:r w:rsidR="00C719B9" w:rsidRPr="00394397">
        <w:rPr>
          <w:sz w:val="24"/>
          <w:szCs w:val="24"/>
        </w:rPr>
        <w:t xml:space="preserve"> </w:t>
      </w:r>
      <w:proofErr w:type="spellStart"/>
      <w:r w:rsidR="00C719B9" w:rsidRPr="00394397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="00C719B9" w:rsidRPr="00394397">
        <w:rPr>
          <w:sz w:val="24"/>
          <w:szCs w:val="24"/>
        </w:rPr>
        <w:t xml:space="preserve"> </w:t>
      </w:r>
      <w:proofErr w:type="spellStart"/>
      <w:r w:rsidR="00C719B9" w:rsidRPr="00394397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C719B9" w:rsidRPr="00394397">
        <w:rPr>
          <w:rFonts w:ascii="Sylfaen" w:hAnsi="Sylfaen" w:cs="Sylfaen"/>
          <w:sz w:val="24"/>
          <w:szCs w:val="24"/>
          <w:lang w:val="ka-GE"/>
        </w:rPr>
        <w:t>“</w:t>
      </w:r>
      <w:r w:rsidR="00C719B9" w:rsidRPr="00394397">
        <w:rPr>
          <w:sz w:val="24"/>
          <w:szCs w:val="24"/>
        </w:rPr>
        <w:t xml:space="preserve"> </w:t>
      </w:r>
      <w:r w:rsidRPr="00394397">
        <w:rPr>
          <w:rFonts w:ascii="Sylfaen" w:eastAsia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მინისტრის 201</w:t>
      </w:r>
      <w:r w:rsidR="00C719B9" w:rsidRPr="00394397">
        <w:rPr>
          <w:rFonts w:ascii="Sylfaen" w:eastAsia="Sylfaen" w:hAnsi="Sylfaen"/>
          <w:sz w:val="24"/>
          <w:szCs w:val="24"/>
          <w:lang w:val="ka-GE"/>
        </w:rPr>
        <w:t>6</w:t>
      </w:r>
      <w:r w:rsidRPr="00394397">
        <w:rPr>
          <w:rFonts w:ascii="Sylfaen" w:eastAsia="Sylfaen" w:hAnsi="Sylfaen"/>
          <w:sz w:val="24"/>
          <w:szCs w:val="24"/>
          <w:lang w:val="ka-GE"/>
        </w:rPr>
        <w:t xml:space="preserve"> წლის </w:t>
      </w:r>
      <w:r w:rsidR="00C719B9" w:rsidRPr="00394397">
        <w:rPr>
          <w:rFonts w:ascii="Sylfaen" w:eastAsia="Sylfaen" w:hAnsi="Sylfaen"/>
          <w:sz w:val="24"/>
          <w:szCs w:val="24"/>
          <w:lang w:val="ka-GE"/>
        </w:rPr>
        <w:t>18 თებერვლის</w:t>
      </w:r>
      <w:r w:rsidRPr="00394397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394397">
        <w:rPr>
          <w:sz w:val="24"/>
          <w:szCs w:val="24"/>
          <w:lang w:val="ka-GE"/>
        </w:rPr>
        <w:t>№</w:t>
      </w:r>
      <w:r w:rsidR="006C6867" w:rsidRPr="00394397">
        <w:rPr>
          <w:rFonts w:ascii="Sylfaen" w:hAnsi="Sylfaen"/>
          <w:sz w:val="24"/>
          <w:szCs w:val="24"/>
          <w:lang w:val="ka-GE"/>
        </w:rPr>
        <w:t>01-43/</w:t>
      </w:r>
      <w:r w:rsidRPr="00394397">
        <w:rPr>
          <w:rFonts w:ascii="Sylfaen" w:hAnsi="Sylfaen" w:cs="Sylfaen"/>
          <w:sz w:val="24"/>
          <w:szCs w:val="24"/>
          <w:lang w:val="ka-GE"/>
        </w:rPr>
        <w:t xml:space="preserve">ო </w:t>
      </w:r>
      <w:r w:rsidRPr="00394397">
        <w:rPr>
          <w:rFonts w:ascii="Sylfaen" w:eastAsia="Sylfaen" w:hAnsi="Sylfaen"/>
          <w:sz w:val="24"/>
          <w:szCs w:val="24"/>
          <w:lang w:val="ka-GE"/>
        </w:rPr>
        <w:t>ბრძანება</w:t>
      </w:r>
      <w:r w:rsidR="00667335">
        <w:rPr>
          <w:rFonts w:ascii="Sylfaen" w:eastAsia="Sylfaen" w:hAnsi="Sylfaen"/>
          <w:sz w:val="24"/>
          <w:szCs w:val="24"/>
          <w:lang w:val="ka-GE"/>
        </w:rPr>
        <w:t>.</w:t>
      </w:r>
    </w:p>
    <w:p w:rsidR="002C2259" w:rsidRPr="00394397" w:rsidRDefault="002C2259" w:rsidP="00667335">
      <w:pPr>
        <w:tabs>
          <w:tab w:val="left" w:pos="90"/>
        </w:tabs>
        <w:spacing w:before="240"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394397">
        <w:rPr>
          <w:rFonts w:ascii="Sylfaen" w:hAnsi="Sylfaen"/>
          <w:b/>
          <w:sz w:val="24"/>
          <w:szCs w:val="24"/>
          <w:lang w:val="ka-GE"/>
        </w:rPr>
        <w:t xml:space="preserve">აუდიტის ჯგუფის წევრები: </w:t>
      </w:r>
    </w:p>
    <w:p w:rsidR="002D04DD" w:rsidRPr="0066571C" w:rsidRDefault="002D04DD" w:rsidP="00667335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667335">
        <w:rPr>
          <w:rFonts w:ascii="Sylfaen" w:hAnsi="Sylfaen" w:cs="Sylfaen"/>
          <w:b/>
          <w:sz w:val="24"/>
          <w:szCs w:val="24"/>
          <w:lang w:val="ka-GE"/>
        </w:rPr>
        <w:t>გიორგი გვალია</w:t>
      </w:r>
      <w:r w:rsidRPr="0066571C">
        <w:rPr>
          <w:rFonts w:ascii="Sylfaen" w:hAnsi="Sylfaen" w:cs="Sylfaen"/>
          <w:sz w:val="24"/>
          <w:szCs w:val="24"/>
          <w:lang w:val="ka-GE"/>
        </w:rPr>
        <w:t xml:space="preserve"> - შიდა აუდიტის სამმართველოს უფროსის მოვალეობის შემსრულებებლი</w:t>
      </w:r>
      <w:r>
        <w:rPr>
          <w:rFonts w:ascii="Sylfaen" w:hAnsi="Sylfaen" w:cs="Sylfaen"/>
          <w:sz w:val="24"/>
          <w:szCs w:val="24"/>
          <w:lang w:val="ka-GE"/>
        </w:rPr>
        <w:t>, ჯგუფის ხელმძღვანელი</w:t>
      </w:r>
      <w:r w:rsidRPr="0066571C">
        <w:rPr>
          <w:rFonts w:ascii="Sylfaen" w:hAnsi="Sylfaen" w:cs="Sylfaen"/>
          <w:sz w:val="24"/>
          <w:szCs w:val="24"/>
          <w:lang w:val="ka-GE"/>
        </w:rPr>
        <w:t>;</w:t>
      </w:r>
    </w:p>
    <w:p w:rsidR="002D04DD" w:rsidRDefault="002D04DD" w:rsidP="00667335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667335">
        <w:rPr>
          <w:rFonts w:ascii="Sylfaen" w:hAnsi="Sylfaen" w:cs="Sylfaen"/>
          <w:b/>
          <w:sz w:val="24"/>
          <w:szCs w:val="24"/>
          <w:lang w:val="ka-GE"/>
        </w:rPr>
        <w:t>ოლეგ ლუტიძე</w:t>
      </w:r>
      <w:r w:rsidRPr="0066571C">
        <w:rPr>
          <w:rFonts w:ascii="Sylfaen" w:hAnsi="Sylfaen" w:cs="Sylfaen"/>
          <w:sz w:val="24"/>
          <w:szCs w:val="24"/>
          <w:lang w:val="ka-GE"/>
        </w:rPr>
        <w:t xml:space="preserve"> - შიდა აუდიტის სამმართველოს </w:t>
      </w:r>
      <w:r>
        <w:rPr>
          <w:rFonts w:ascii="Sylfaen" w:hAnsi="Sylfaen" w:cs="Sylfaen"/>
          <w:sz w:val="24"/>
          <w:szCs w:val="24"/>
          <w:lang w:val="ka-GE"/>
        </w:rPr>
        <w:t>მთავარი</w:t>
      </w:r>
      <w:r w:rsidRPr="0066571C">
        <w:rPr>
          <w:rFonts w:ascii="Sylfaen" w:hAnsi="Sylfaen" w:cs="Sylfaen"/>
          <w:sz w:val="24"/>
          <w:szCs w:val="24"/>
          <w:lang w:val="ka-GE"/>
        </w:rPr>
        <w:t xml:space="preserve"> სპეციალისტი</w:t>
      </w:r>
      <w:r>
        <w:rPr>
          <w:rFonts w:ascii="Sylfaen" w:hAnsi="Sylfaen" w:cs="Sylfaen"/>
          <w:sz w:val="24"/>
          <w:szCs w:val="24"/>
          <w:lang w:val="ka-GE"/>
        </w:rPr>
        <w:t>, ჯგუფის წევრი;</w:t>
      </w:r>
    </w:p>
    <w:p w:rsidR="002D04DD" w:rsidRDefault="002D04DD" w:rsidP="00667335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667335">
        <w:rPr>
          <w:rFonts w:ascii="Sylfaen" w:hAnsi="Sylfaen" w:cs="Sylfaen"/>
          <w:b/>
          <w:sz w:val="24"/>
          <w:szCs w:val="24"/>
          <w:lang w:val="ka-GE"/>
        </w:rPr>
        <w:t>ქეთევან გორგოძე</w:t>
      </w:r>
      <w:r>
        <w:rPr>
          <w:rFonts w:ascii="Sylfaen" w:hAnsi="Sylfaen" w:cs="Sylfaen"/>
          <w:sz w:val="24"/>
          <w:szCs w:val="24"/>
          <w:lang w:val="ka-GE"/>
        </w:rPr>
        <w:t xml:space="preserve"> - </w:t>
      </w:r>
      <w:r w:rsidRPr="0066571C">
        <w:rPr>
          <w:rFonts w:ascii="Sylfaen" w:hAnsi="Sylfaen" w:cs="Sylfaen"/>
          <w:sz w:val="24"/>
          <w:szCs w:val="24"/>
          <w:lang w:val="ka-GE"/>
        </w:rPr>
        <w:t>შიდა აუდიტის სამმართველოს უფროსი სპეციალისტი</w:t>
      </w:r>
      <w:r>
        <w:rPr>
          <w:rFonts w:ascii="Sylfaen" w:hAnsi="Sylfaen" w:cs="Sylfaen"/>
          <w:sz w:val="24"/>
          <w:szCs w:val="24"/>
          <w:lang w:val="ka-GE"/>
        </w:rPr>
        <w:t>, ჯგუფის წევრი.</w:t>
      </w:r>
    </w:p>
    <w:p w:rsidR="002D04DD" w:rsidRPr="0066571C" w:rsidRDefault="002D04DD" w:rsidP="002D04DD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  <w:lang w:eastAsia="en-US"/>
        </w:rPr>
        <w:id w:val="56268506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DB3F7D" w:rsidRPr="00DB3F7D" w:rsidRDefault="00DB3F7D" w:rsidP="00DB3F7D">
          <w:pPr>
            <w:pStyle w:val="TOCHeading"/>
            <w:spacing w:after="240"/>
            <w:rPr>
              <w:rFonts w:ascii="Sylfaen" w:hAnsi="Sylfaen"/>
              <w:lang w:val="ka-GE"/>
            </w:rPr>
          </w:pPr>
          <w:r>
            <w:rPr>
              <w:rFonts w:ascii="Sylfaen" w:hAnsi="Sylfaen"/>
              <w:lang w:val="ka-GE"/>
            </w:rPr>
            <w:t>სარჩევი</w:t>
          </w:r>
        </w:p>
        <w:p w:rsidR="00DB3F7D" w:rsidRPr="00DB3F7D" w:rsidRDefault="00DB3F7D">
          <w:pPr>
            <w:pStyle w:val="TOC1"/>
            <w:tabs>
              <w:tab w:val="right" w:leader="dot" w:pos="9679"/>
            </w:tabs>
            <w:rPr>
              <w:noProof/>
              <w:sz w:val="24"/>
              <w:szCs w:val="24"/>
              <w:lang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3038332" w:history="1">
            <w:r w:rsidRPr="00DB3F7D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ტერმინთა</w:t>
            </w:r>
            <w:r w:rsidRPr="00DB3F7D">
              <w:rPr>
                <w:rStyle w:val="Hyperlink"/>
                <w:noProof/>
                <w:sz w:val="24"/>
                <w:szCs w:val="24"/>
                <w:lang w:val="ka-GE"/>
              </w:rPr>
              <w:t xml:space="preserve"> </w:t>
            </w:r>
            <w:r w:rsidRPr="00DB3F7D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განმარტება</w:t>
            </w:r>
            <w:r w:rsidRPr="00DB3F7D">
              <w:rPr>
                <w:noProof/>
                <w:webHidden/>
                <w:sz w:val="24"/>
                <w:szCs w:val="24"/>
              </w:rPr>
              <w:tab/>
            </w:r>
            <w:r w:rsidRPr="00DB3F7D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3F7D">
              <w:rPr>
                <w:noProof/>
                <w:webHidden/>
                <w:sz w:val="24"/>
                <w:szCs w:val="24"/>
              </w:rPr>
              <w:instrText xml:space="preserve"> PAGEREF _Toc473038332 \h </w:instrText>
            </w:r>
            <w:r w:rsidRPr="00DB3F7D">
              <w:rPr>
                <w:noProof/>
                <w:webHidden/>
                <w:sz w:val="24"/>
                <w:szCs w:val="24"/>
              </w:rPr>
            </w:r>
            <w:r w:rsidRPr="00DB3F7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52A44">
              <w:rPr>
                <w:noProof/>
                <w:webHidden/>
                <w:sz w:val="24"/>
                <w:szCs w:val="24"/>
              </w:rPr>
              <w:t>2</w:t>
            </w:r>
            <w:r w:rsidRPr="00DB3F7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3F7D" w:rsidRPr="00DB3F7D" w:rsidRDefault="00B65D34">
          <w:pPr>
            <w:pStyle w:val="TOC1"/>
            <w:tabs>
              <w:tab w:val="right" w:leader="dot" w:pos="9679"/>
            </w:tabs>
            <w:rPr>
              <w:noProof/>
              <w:sz w:val="24"/>
              <w:szCs w:val="24"/>
              <w:lang w:eastAsia="en-US"/>
            </w:rPr>
          </w:pPr>
          <w:hyperlink w:anchor="_Toc473038333" w:history="1">
            <w:r w:rsidR="00DB3F7D" w:rsidRPr="00DB3F7D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შემაჯამებელი მიმოხილვა</w:t>
            </w:r>
            <w:r w:rsidR="00DB3F7D" w:rsidRPr="00DB3F7D">
              <w:rPr>
                <w:noProof/>
                <w:webHidden/>
                <w:sz w:val="24"/>
                <w:szCs w:val="24"/>
              </w:rPr>
              <w:tab/>
            </w:r>
            <w:r w:rsidR="00DB3F7D" w:rsidRPr="00DB3F7D">
              <w:rPr>
                <w:noProof/>
                <w:webHidden/>
                <w:sz w:val="24"/>
                <w:szCs w:val="24"/>
              </w:rPr>
              <w:fldChar w:fldCharType="begin"/>
            </w:r>
            <w:r w:rsidR="00DB3F7D" w:rsidRPr="00DB3F7D">
              <w:rPr>
                <w:noProof/>
                <w:webHidden/>
                <w:sz w:val="24"/>
                <w:szCs w:val="24"/>
              </w:rPr>
              <w:instrText xml:space="preserve"> PAGEREF _Toc473038333 \h </w:instrText>
            </w:r>
            <w:r w:rsidR="00DB3F7D" w:rsidRPr="00DB3F7D">
              <w:rPr>
                <w:noProof/>
                <w:webHidden/>
                <w:sz w:val="24"/>
                <w:szCs w:val="24"/>
              </w:rPr>
            </w:r>
            <w:r w:rsidR="00DB3F7D" w:rsidRPr="00DB3F7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52A44">
              <w:rPr>
                <w:noProof/>
                <w:webHidden/>
                <w:sz w:val="24"/>
                <w:szCs w:val="24"/>
              </w:rPr>
              <w:t>3</w:t>
            </w:r>
            <w:r w:rsidR="00DB3F7D" w:rsidRPr="00DB3F7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3F7D" w:rsidRPr="00DB3F7D" w:rsidRDefault="00B65D34">
          <w:pPr>
            <w:pStyle w:val="TOC1"/>
            <w:tabs>
              <w:tab w:val="right" w:leader="dot" w:pos="9679"/>
            </w:tabs>
            <w:rPr>
              <w:noProof/>
              <w:sz w:val="24"/>
              <w:szCs w:val="24"/>
              <w:lang w:eastAsia="en-US"/>
            </w:rPr>
          </w:pPr>
          <w:hyperlink w:anchor="_Toc473038334" w:history="1">
            <w:r w:rsidR="00DB3F7D" w:rsidRPr="00DB3F7D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აუდიტის შედეგები</w:t>
            </w:r>
            <w:r w:rsidR="00DB3F7D" w:rsidRPr="00DB3F7D">
              <w:rPr>
                <w:noProof/>
                <w:webHidden/>
                <w:sz w:val="24"/>
                <w:szCs w:val="24"/>
              </w:rPr>
              <w:tab/>
            </w:r>
            <w:r w:rsidR="00DB3F7D" w:rsidRPr="00DB3F7D">
              <w:rPr>
                <w:noProof/>
                <w:webHidden/>
                <w:sz w:val="24"/>
                <w:szCs w:val="24"/>
              </w:rPr>
              <w:fldChar w:fldCharType="begin"/>
            </w:r>
            <w:r w:rsidR="00DB3F7D" w:rsidRPr="00DB3F7D">
              <w:rPr>
                <w:noProof/>
                <w:webHidden/>
                <w:sz w:val="24"/>
                <w:szCs w:val="24"/>
              </w:rPr>
              <w:instrText xml:space="preserve"> PAGEREF _Toc473038334 \h </w:instrText>
            </w:r>
            <w:r w:rsidR="00DB3F7D" w:rsidRPr="00DB3F7D">
              <w:rPr>
                <w:noProof/>
                <w:webHidden/>
                <w:sz w:val="24"/>
                <w:szCs w:val="24"/>
              </w:rPr>
            </w:r>
            <w:r w:rsidR="00DB3F7D" w:rsidRPr="00DB3F7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52A44">
              <w:rPr>
                <w:noProof/>
                <w:webHidden/>
                <w:sz w:val="24"/>
                <w:szCs w:val="24"/>
              </w:rPr>
              <w:t>5</w:t>
            </w:r>
            <w:r w:rsidR="00DB3F7D" w:rsidRPr="00DB3F7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3F7D" w:rsidRPr="00DB3F7D" w:rsidRDefault="00B65D34">
          <w:pPr>
            <w:pStyle w:val="TOC1"/>
            <w:tabs>
              <w:tab w:val="left" w:pos="440"/>
              <w:tab w:val="right" w:leader="dot" w:pos="9679"/>
            </w:tabs>
            <w:rPr>
              <w:noProof/>
              <w:sz w:val="24"/>
              <w:szCs w:val="24"/>
              <w:lang w:eastAsia="en-US"/>
            </w:rPr>
          </w:pPr>
          <w:hyperlink w:anchor="_Toc473038335" w:history="1">
            <w:r w:rsidR="00DB3F7D" w:rsidRPr="00DB3F7D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1.</w:t>
            </w:r>
            <w:r w:rsidR="00DB3F7D" w:rsidRPr="00DB3F7D">
              <w:rPr>
                <w:noProof/>
                <w:sz w:val="24"/>
                <w:szCs w:val="24"/>
                <w:lang w:eastAsia="en-US"/>
              </w:rPr>
              <w:tab/>
            </w:r>
            <w:r w:rsidR="00DB3F7D" w:rsidRPr="00DB3F7D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აუდიტის მიზანი</w:t>
            </w:r>
            <w:r w:rsidR="00DB3F7D" w:rsidRPr="00DB3F7D">
              <w:rPr>
                <w:noProof/>
                <w:webHidden/>
                <w:sz w:val="24"/>
                <w:szCs w:val="24"/>
              </w:rPr>
              <w:tab/>
            </w:r>
            <w:r w:rsidR="00DB3F7D" w:rsidRPr="00DB3F7D">
              <w:rPr>
                <w:noProof/>
                <w:webHidden/>
                <w:sz w:val="24"/>
                <w:szCs w:val="24"/>
              </w:rPr>
              <w:fldChar w:fldCharType="begin"/>
            </w:r>
            <w:r w:rsidR="00DB3F7D" w:rsidRPr="00DB3F7D">
              <w:rPr>
                <w:noProof/>
                <w:webHidden/>
                <w:sz w:val="24"/>
                <w:szCs w:val="24"/>
              </w:rPr>
              <w:instrText xml:space="preserve"> PAGEREF _Toc473038335 \h </w:instrText>
            </w:r>
            <w:r w:rsidR="00DB3F7D" w:rsidRPr="00DB3F7D">
              <w:rPr>
                <w:noProof/>
                <w:webHidden/>
                <w:sz w:val="24"/>
                <w:szCs w:val="24"/>
              </w:rPr>
            </w:r>
            <w:r w:rsidR="00DB3F7D" w:rsidRPr="00DB3F7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52A44">
              <w:rPr>
                <w:noProof/>
                <w:webHidden/>
                <w:sz w:val="24"/>
                <w:szCs w:val="24"/>
              </w:rPr>
              <w:t>5</w:t>
            </w:r>
            <w:r w:rsidR="00DB3F7D" w:rsidRPr="00DB3F7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3F7D" w:rsidRPr="00DB3F7D" w:rsidRDefault="00B65D34">
          <w:pPr>
            <w:pStyle w:val="TOC1"/>
            <w:tabs>
              <w:tab w:val="left" w:pos="440"/>
              <w:tab w:val="right" w:leader="dot" w:pos="9679"/>
            </w:tabs>
            <w:rPr>
              <w:noProof/>
              <w:sz w:val="24"/>
              <w:szCs w:val="24"/>
              <w:lang w:eastAsia="en-US"/>
            </w:rPr>
          </w:pPr>
          <w:hyperlink w:anchor="_Toc473038336" w:history="1">
            <w:r w:rsidR="00DB3F7D" w:rsidRPr="00DB3F7D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2.</w:t>
            </w:r>
            <w:r w:rsidR="00DB3F7D" w:rsidRPr="00DB3F7D">
              <w:rPr>
                <w:noProof/>
                <w:sz w:val="24"/>
                <w:szCs w:val="24"/>
                <w:lang w:eastAsia="en-US"/>
              </w:rPr>
              <w:tab/>
            </w:r>
            <w:r w:rsidR="00DB3F7D" w:rsidRPr="00DB3F7D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აუდიტის</w:t>
            </w:r>
            <w:r w:rsidR="00DB3F7D" w:rsidRPr="00DB3F7D">
              <w:rPr>
                <w:rStyle w:val="Hyperlink"/>
                <w:noProof/>
                <w:sz w:val="24"/>
                <w:szCs w:val="24"/>
                <w:lang w:val="ka-GE"/>
              </w:rPr>
              <w:t xml:space="preserve"> </w:t>
            </w:r>
            <w:r w:rsidR="00DB3F7D" w:rsidRPr="00DB3F7D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მოცულობა</w:t>
            </w:r>
            <w:r w:rsidR="00DB3F7D" w:rsidRPr="00DB3F7D">
              <w:rPr>
                <w:noProof/>
                <w:webHidden/>
                <w:sz w:val="24"/>
                <w:szCs w:val="24"/>
              </w:rPr>
              <w:tab/>
            </w:r>
            <w:r w:rsidR="00DB3F7D" w:rsidRPr="00DB3F7D">
              <w:rPr>
                <w:noProof/>
                <w:webHidden/>
                <w:sz w:val="24"/>
                <w:szCs w:val="24"/>
              </w:rPr>
              <w:fldChar w:fldCharType="begin"/>
            </w:r>
            <w:r w:rsidR="00DB3F7D" w:rsidRPr="00DB3F7D">
              <w:rPr>
                <w:noProof/>
                <w:webHidden/>
                <w:sz w:val="24"/>
                <w:szCs w:val="24"/>
              </w:rPr>
              <w:instrText xml:space="preserve"> PAGEREF _Toc473038336 \h </w:instrText>
            </w:r>
            <w:r w:rsidR="00DB3F7D" w:rsidRPr="00DB3F7D">
              <w:rPr>
                <w:noProof/>
                <w:webHidden/>
                <w:sz w:val="24"/>
                <w:szCs w:val="24"/>
              </w:rPr>
            </w:r>
            <w:r w:rsidR="00DB3F7D" w:rsidRPr="00DB3F7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52A44">
              <w:rPr>
                <w:noProof/>
                <w:webHidden/>
                <w:sz w:val="24"/>
                <w:szCs w:val="24"/>
              </w:rPr>
              <w:t>6</w:t>
            </w:r>
            <w:r w:rsidR="00DB3F7D" w:rsidRPr="00DB3F7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3F7D" w:rsidRPr="00DB3F7D" w:rsidRDefault="00B65D34">
          <w:pPr>
            <w:pStyle w:val="TOC1"/>
            <w:tabs>
              <w:tab w:val="left" w:pos="440"/>
              <w:tab w:val="right" w:leader="dot" w:pos="9679"/>
            </w:tabs>
            <w:rPr>
              <w:noProof/>
              <w:sz w:val="24"/>
              <w:szCs w:val="24"/>
              <w:lang w:eastAsia="en-US"/>
            </w:rPr>
          </w:pPr>
          <w:hyperlink w:anchor="_Toc473038337" w:history="1">
            <w:r w:rsidR="00DB3F7D" w:rsidRPr="00DB3F7D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3.</w:t>
            </w:r>
            <w:r w:rsidR="00DB3F7D" w:rsidRPr="00DB3F7D">
              <w:rPr>
                <w:noProof/>
                <w:sz w:val="24"/>
                <w:szCs w:val="24"/>
                <w:lang w:eastAsia="en-US"/>
              </w:rPr>
              <w:tab/>
            </w:r>
            <w:r w:rsidR="00DB3F7D" w:rsidRPr="00DB3F7D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ძირითადი ინფორმაცია</w:t>
            </w:r>
            <w:r w:rsidR="00DB3F7D" w:rsidRPr="00DB3F7D">
              <w:rPr>
                <w:noProof/>
                <w:webHidden/>
                <w:sz w:val="24"/>
                <w:szCs w:val="24"/>
              </w:rPr>
              <w:tab/>
            </w:r>
            <w:r w:rsidR="00DB3F7D" w:rsidRPr="00DB3F7D">
              <w:rPr>
                <w:noProof/>
                <w:webHidden/>
                <w:sz w:val="24"/>
                <w:szCs w:val="24"/>
              </w:rPr>
              <w:fldChar w:fldCharType="begin"/>
            </w:r>
            <w:r w:rsidR="00DB3F7D" w:rsidRPr="00DB3F7D">
              <w:rPr>
                <w:noProof/>
                <w:webHidden/>
                <w:sz w:val="24"/>
                <w:szCs w:val="24"/>
              </w:rPr>
              <w:instrText xml:space="preserve"> PAGEREF _Toc473038337 \h </w:instrText>
            </w:r>
            <w:r w:rsidR="00DB3F7D" w:rsidRPr="00DB3F7D">
              <w:rPr>
                <w:noProof/>
                <w:webHidden/>
                <w:sz w:val="24"/>
                <w:szCs w:val="24"/>
              </w:rPr>
            </w:r>
            <w:r w:rsidR="00DB3F7D" w:rsidRPr="00DB3F7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52A44">
              <w:rPr>
                <w:noProof/>
                <w:webHidden/>
                <w:sz w:val="24"/>
                <w:szCs w:val="24"/>
              </w:rPr>
              <w:t>6</w:t>
            </w:r>
            <w:r w:rsidR="00DB3F7D" w:rsidRPr="00DB3F7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3F7D" w:rsidRDefault="00B65D34">
          <w:pPr>
            <w:pStyle w:val="TOC1"/>
            <w:tabs>
              <w:tab w:val="right" w:leader="dot" w:pos="9679"/>
            </w:tabs>
            <w:rPr>
              <w:noProof/>
              <w:lang w:eastAsia="en-US"/>
            </w:rPr>
          </w:pPr>
          <w:hyperlink w:anchor="_Toc473038338" w:history="1">
            <w:r w:rsidR="00DB3F7D" w:rsidRPr="00DB3F7D">
              <w:rPr>
                <w:rStyle w:val="Hyperlink"/>
                <w:rFonts w:ascii="Sylfaen" w:eastAsia="Sylfaen" w:hAnsi="Sylfaen"/>
                <w:noProof/>
                <w:sz w:val="24"/>
                <w:szCs w:val="24"/>
                <w:lang w:val="ka-GE"/>
              </w:rPr>
              <w:t>4.</w:t>
            </w:r>
            <w:r w:rsidR="00DB3F7D" w:rsidRPr="00DB3F7D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  </w:t>
            </w:r>
            <w:r w:rsidR="00DB3F7D" w:rsidRPr="00DB3F7D">
              <w:rPr>
                <w:rStyle w:val="Hyperlink"/>
                <w:rFonts w:ascii="Sylfaen" w:eastAsia="Sylfaen" w:hAnsi="Sylfaen"/>
                <w:noProof/>
                <w:sz w:val="24"/>
                <w:szCs w:val="24"/>
                <w:lang w:val="ka-GE"/>
              </w:rPr>
              <w:t>აუდიტის მიგნებები</w:t>
            </w:r>
            <w:r w:rsidR="00DB3F7D" w:rsidRPr="00DB3F7D">
              <w:rPr>
                <w:noProof/>
                <w:webHidden/>
                <w:sz w:val="24"/>
                <w:szCs w:val="24"/>
              </w:rPr>
              <w:tab/>
            </w:r>
            <w:r w:rsidR="00DB3F7D" w:rsidRPr="00DB3F7D">
              <w:rPr>
                <w:noProof/>
                <w:webHidden/>
                <w:sz w:val="24"/>
                <w:szCs w:val="24"/>
              </w:rPr>
              <w:fldChar w:fldCharType="begin"/>
            </w:r>
            <w:r w:rsidR="00DB3F7D" w:rsidRPr="00DB3F7D">
              <w:rPr>
                <w:noProof/>
                <w:webHidden/>
                <w:sz w:val="24"/>
                <w:szCs w:val="24"/>
              </w:rPr>
              <w:instrText xml:space="preserve"> PAGEREF _Toc473038338 \h </w:instrText>
            </w:r>
            <w:r w:rsidR="00DB3F7D" w:rsidRPr="00DB3F7D">
              <w:rPr>
                <w:noProof/>
                <w:webHidden/>
                <w:sz w:val="24"/>
                <w:szCs w:val="24"/>
              </w:rPr>
            </w:r>
            <w:r w:rsidR="00DB3F7D" w:rsidRPr="00DB3F7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52A44">
              <w:rPr>
                <w:noProof/>
                <w:webHidden/>
                <w:sz w:val="24"/>
                <w:szCs w:val="24"/>
              </w:rPr>
              <w:t>9</w:t>
            </w:r>
            <w:r w:rsidR="00DB3F7D" w:rsidRPr="00DB3F7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3F7D" w:rsidRDefault="00DB3F7D">
          <w:r>
            <w:rPr>
              <w:b/>
              <w:bCs/>
              <w:noProof/>
            </w:rPr>
            <w:fldChar w:fldCharType="end"/>
          </w:r>
        </w:p>
      </w:sdtContent>
    </w:sdt>
    <w:p w:rsidR="00F416BA" w:rsidRPr="00667335" w:rsidRDefault="00F416BA" w:rsidP="006C3FC8">
      <w:pPr>
        <w:pStyle w:val="Heading1"/>
        <w:spacing w:before="240"/>
        <w:rPr>
          <w:color w:val="17365D" w:themeColor="text2" w:themeShade="BF"/>
          <w:lang w:val="ka-GE"/>
        </w:rPr>
      </w:pPr>
      <w:bookmarkStart w:id="0" w:name="_Toc473037937"/>
      <w:bookmarkStart w:id="1" w:name="_Toc473038332"/>
      <w:r w:rsidRPr="00667335">
        <w:rPr>
          <w:rFonts w:ascii="Sylfaen" w:hAnsi="Sylfaen" w:cs="Sylfaen"/>
          <w:color w:val="17365D" w:themeColor="text2" w:themeShade="BF"/>
          <w:lang w:val="ka-GE"/>
        </w:rPr>
        <w:t>ტერმინ</w:t>
      </w:r>
      <w:r w:rsidR="00E70314" w:rsidRPr="00667335">
        <w:rPr>
          <w:rFonts w:ascii="Sylfaen" w:hAnsi="Sylfaen" w:cs="Sylfaen"/>
          <w:color w:val="17365D" w:themeColor="text2" w:themeShade="BF"/>
          <w:lang w:val="ka-GE"/>
        </w:rPr>
        <w:t>თა</w:t>
      </w:r>
      <w:r w:rsidRPr="00667335">
        <w:rPr>
          <w:color w:val="17365D" w:themeColor="text2" w:themeShade="BF"/>
          <w:lang w:val="ka-GE"/>
        </w:rPr>
        <w:t xml:space="preserve"> </w:t>
      </w:r>
      <w:r w:rsidRPr="00667335">
        <w:rPr>
          <w:rFonts w:ascii="Sylfaen" w:hAnsi="Sylfaen" w:cs="Sylfaen"/>
          <w:color w:val="17365D" w:themeColor="text2" w:themeShade="BF"/>
          <w:lang w:val="ka-GE"/>
        </w:rPr>
        <w:t>განმარტება</w:t>
      </w:r>
      <w:bookmarkEnd w:id="0"/>
      <w:bookmarkEnd w:id="1"/>
    </w:p>
    <w:p w:rsidR="00F54B1F" w:rsidRPr="009B15F8" w:rsidRDefault="00F416BA" w:rsidP="009B15F8">
      <w:pPr>
        <w:spacing w:before="240"/>
        <w:jc w:val="both"/>
        <w:rPr>
          <w:rFonts w:ascii="Sylfaen" w:hAnsi="Sylfaen" w:cs="Calibri"/>
          <w:color w:val="000000"/>
          <w:sz w:val="24"/>
          <w:szCs w:val="24"/>
          <w:lang w:val="ka-GE"/>
        </w:rPr>
      </w:pPr>
      <w:r w:rsidRPr="009B15F8">
        <w:rPr>
          <w:rFonts w:ascii="Sylfaen" w:hAnsi="Sylfaen"/>
          <w:b/>
          <w:sz w:val="24"/>
          <w:szCs w:val="24"/>
          <w:lang w:val="ka-GE"/>
        </w:rPr>
        <w:t>პროგრამა</w:t>
      </w:r>
      <w:r w:rsidRPr="009B15F8">
        <w:rPr>
          <w:rFonts w:ascii="Sylfaen" w:hAnsi="Sylfaen"/>
          <w:sz w:val="24"/>
          <w:szCs w:val="24"/>
          <w:lang w:val="ka-GE"/>
        </w:rPr>
        <w:t xml:space="preserve"> - </w:t>
      </w:r>
      <w:proofErr w:type="spellStart"/>
      <w:r w:rsidR="00F54B1F" w:rsidRPr="009B15F8">
        <w:rPr>
          <w:rFonts w:ascii="Sylfaen" w:hAnsi="Sylfaen" w:cs="Calibri"/>
          <w:color w:val="000000"/>
          <w:sz w:val="24"/>
          <w:szCs w:val="24"/>
        </w:rPr>
        <w:t>ინკურაბელურ</w:t>
      </w:r>
      <w:proofErr w:type="spellEnd"/>
      <w:r w:rsidR="00F54B1F" w:rsidRPr="009B15F8">
        <w:rPr>
          <w:rFonts w:ascii="Sylfaen" w:hAnsi="Sylfaen" w:cs="Calibri"/>
          <w:color w:val="000000"/>
          <w:sz w:val="24"/>
          <w:szCs w:val="24"/>
        </w:rPr>
        <w:t xml:space="preserve"> </w:t>
      </w:r>
      <w:proofErr w:type="spellStart"/>
      <w:r w:rsidR="009B15F8">
        <w:rPr>
          <w:rFonts w:ascii="Sylfaen" w:hAnsi="Sylfaen" w:cs="Calibri"/>
          <w:color w:val="000000"/>
          <w:sz w:val="24"/>
          <w:szCs w:val="24"/>
        </w:rPr>
        <w:t>პაციენტთა</w:t>
      </w:r>
      <w:proofErr w:type="spellEnd"/>
      <w:r w:rsidR="009B15F8">
        <w:rPr>
          <w:rFonts w:ascii="Sylfaen" w:hAnsi="Sylfaen" w:cs="Calibri"/>
          <w:color w:val="000000"/>
          <w:sz w:val="24"/>
          <w:szCs w:val="24"/>
        </w:rPr>
        <w:t xml:space="preserve"> </w:t>
      </w:r>
      <w:proofErr w:type="spellStart"/>
      <w:r w:rsidR="009B15F8">
        <w:rPr>
          <w:rFonts w:ascii="Sylfaen" w:hAnsi="Sylfaen" w:cs="Calibri"/>
          <w:color w:val="000000"/>
          <w:sz w:val="24"/>
          <w:szCs w:val="24"/>
        </w:rPr>
        <w:t>პა</w:t>
      </w:r>
      <w:bookmarkStart w:id="2" w:name="_GoBack"/>
      <w:bookmarkEnd w:id="2"/>
      <w:r w:rsidR="009B15F8">
        <w:rPr>
          <w:rFonts w:ascii="Sylfaen" w:hAnsi="Sylfaen" w:cs="Calibri"/>
          <w:color w:val="000000"/>
          <w:sz w:val="24"/>
          <w:szCs w:val="24"/>
        </w:rPr>
        <w:t>ლიატიური</w:t>
      </w:r>
      <w:proofErr w:type="spellEnd"/>
      <w:r w:rsidR="009B15F8">
        <w:rPr>
          <w:rFonts w:ascii="Sylfaen" w:hAnsi="Sylfaen" w:cs="Calibri"/>
          <w:color w:val="000000"/>
          <w:sz w:val="24"/>
          <w:szCs w:val="24"/>
        </w:rPr>
        <w:t xml:space="preserve"> </w:t>
      </w:r>
      <w:proofErr w:type="spellStart"/>
      <w:r w:rsidR="009B15F8">
        <w:rPr>
          <w:rFonts w:ascii="Sylfaen" w:hAnsi="Sylfaen" w:cs="Calibri"/>
          <w:color w:val="000000"/>
          <w:sz w:val="24"/>
          <w:szCs w:val="24"/>
        </w:rPr>
        <w:t>მზრუნველობ</w:t>
      </w:r>
      <w:proofErr w:type="spellEnd"/>
      <w:r w:rsidR="009B15F8">
        <w:rPr>
          <w:rFonts w:ascii="Sylfaen" w:hAnsi="Sylfaen" w:cs="Calibri"/>
          <w:color w:val="000000"/>
          <w:sz w:val="24"/>
          <w:szCs w:val="24"/>
          <w:lang w:val="ka-GE"/>
        </w:rPr>
        <w:t>ის სახელმწიფო პროგრამა</w:t>
      </w:r>
      <w:r w:rsidR="00667335">
        <w:rPr>
          <w:rFonts w:ascii="Sylfaen" w:hAnsi="Sylfaen" w:cs="Calibri"/>
          <w:color w:val="000000"/>
          <w:sz w:val="24"/>
          <w:szCs w:val="24"/>
          <w:lang w:val="ka-GE"/>
        </w:rPr>
        <w:t>.</w:t>
      </w:r>
    </w:p>
    <w:p w:rsidR="00F416BA" w:rsidRPr="009B15F8" w:rsidRDefault="00F416BA" w:rsidP="009B15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 w:rsidRPr="009B15F8">
        <w:rPr>
          <w:rFonts w:ascii="Sylfaen" w:hAnsi="Sylfaen"/>
          <w:b/>
          <w:sz w:val="24"/>
          <w:szCs w:val="24"/>
          <w:lang w:val="ka-GE"/>
        </w:rPr>
        <w:t>დადგენილება</w:t>
      </w:r>
      <w:r w:rsidRPr="009B15F8">
        <w:rPr>
          <w:rFonts w:ascii="Sylfaen" w:hAnsi="Sylfaen"/>
          <w:sz w:val="24"/>
          <w:szCs w:val="24"/>
          <w:lang w:val="ka-GE"/>
        </w:rPr>
        <w:t xml:space="preserve"> - „</w:t>
      </w:r>
      <w:r w:rsidR="00F54B1F" w:rsidRPr="009B15F8">
        <w:rPr>
          <w:rFonts w:ascii="Sylfaen" w:hAnsi="Sylfaen" w:cs="Sylfaen"/>
          <w:bCs/>
          <w:sz w:val="24"/>
          <w:szCs w:val="24"/>
        </w:rPr>
        <w:t xml:space="preserve">2016 </w:t>
      </w:r>
      <w:proofErr w:type="spellStart"/>
      <w:r w:rsidR="00F54B1F" w:rsidRPr="009B15F8">
        <w:rPr>
          <w:rFonts w:ascii="Sylfaen" w:hAnsi="Sylfaen" w:cs="Sylfaen"/>
          <w:bCs/>
          <w:sz w:val="24"/>
          <w:szCs w:val="24"/>
        </w:rPr>
        <w:t>წლის</w:t>
      </w:r>
      <w:proofErr w:type="spellEnd"/>
      <w:r w:rsidR="00F54B1F" w:rsidRPr="009B15F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F54B1F" w:rsidRPr="009B15F8">
        <w:rPr>
          <w:rFonts w:ascii="Sylfaen" w:hAnsi="Sylfaen" w:cs="Sylfaen"/>
          <w:bCs/>
          <w:sz w:val="24"/>
          <w:szCs w:val="24"/>
        </w:rPr>
        <w:t>ჯანმრთელობის</w:t>
      </w:r>
      <w:proofErr w:type="spellEnd"/>
      <w:r w:rsidR="00F54B1F" w:rsidRPr="009B15F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F54B1F" w:rsidRPr="009B15F8">
        <w:rPr>
          <w:rFonts w:ascii="Sylfaen" w:hAnsi="Sylfaen" w:cs="Sylfaen"/>
          <w:bCs/>
          <w:sz w:val="24"/>
          <w:szCs w:val="24"/>
        </w:rPr>
        <w:t>დაცვის</w:t>
      </w:r>
      <w:proofErr w:type="spellEnd"/>
      <w:r w:rsidR="00F54B1F" w:rsidRPr="009B15F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F54B1F" w:rsidRPr="009B15F8">
        <w:rPr>
          <w:rFonts w:ascii="Sylfaen" w:hAnsi="Sylfaen" w:cs="Sylfaen"/>
          <w:bCs/>
          <w:sz w:val="24"/>
          <w:szCs w:val="24"/>
        </w:rPr>
        <w:t>სახელმწიფო</w:t>
      </w:r>
      <w:proofErr w:type="spellEnd"/>
      <w:r w:rsidR="00F54B1F" w:rsidRPr="009B15F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F54B1F" w:rsidRPr="009B15F8">
        <w:rPr>
          <w:rFonts w:ascii="Sylfaen" w:hAnsi="Sylfaen" w:cs="Sylfaen"/>
          <w:bCs/>
          <w:sz w:val="24"/>
          <w:szCs w:val="24"/>
        </w:rPr>
        <w:t>პროგრამების</w:t>
      </w:r>
      <w:proofErr w:type="spellEnd"/>
      <w:r w:rsidR="00F54B1F" w:rsidRPr="009B15F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F54B1F" w:rsidRPr="009B15F8">
        <w:rPr>
          <w:rFonts w:ascii="Sylfaen" w:hAnsi="Sylfaen" w:cs="Sylfaen"/>
          <w:bCs/>
          <w:sz w:val="24"/>
          <w:szCs w:val="24"/>
        </w:rPr>
        <w:t>დამტკიცების</w:t>
      </w:r>
      <w:proofErr w:type="spellEnd"/>
      <w:r w:rsidR="00F54B1F" w:rsidRPr="009B15F8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Pr="009B15F8">
        <w:rPr>
          <w:rFonts w:ascii="Sylfaen" w:hAnsi="Sylfaen"/>
          <w:sz w:val="24"/>
          <w:szCs w:val="24"/>
          <w:lang w:val="ka-GE"/>
        </w:rPr>
        <w:t>შესახებ“ საქართველოს მთავრობის 201</w:t>
      </w:r>
      <w:r w:rsidR="00F54B1F" w:rsidRPr="009B15F8">
        <w:rPr>
          <w:rFonts w:ascii="Sylfaen" w:hAnsi="Sylfaen"/>
          <w:sz w:val="24"/>
          <w:szCs w:val="24"/>
          <w:lang w:val="ka-GE"/>
        </w:rPr>
        <w:t>5</w:t>
      </w:r>
      <w:r w:rsidRPr="009B15F8">
        <w:rPr>
          <w:rFonts w:ascii="Sylfaen" w:hAnsi="Sylfaen"/>
          <w:sz w:val="24"/>
          <w:szCs w:val="24"/>
          <w:lang w:val="ka-GE"/>
        </w:rPr>
        <w:t xml:space="preserve"> წლის </w:t>
      </w:r>
      <w:r w:rsidR="00F54B1F" w:rsidRPr="009B15F8">
        <w:rPr>
          <w:rFonts w:ascii="Sylfaen" w:hAnsi="Sylfaen"/>
          <w:sz w:val="24"/>
          <w:szCs w:val="24"/>
          <w:lang w:val="ka-GE"/>
        </w:rPr>
        <w:t>30 დეკემბრის</w:t>
      </w:r>
      <w:r w:rsidRPr="009B15F8">
        <w:rPr>
          <w:rFonts w:ascii="Sylfaen" w:hAnsi="Sylfaen"/>
          <w:sz w:val="24"/>
          <w:szCs w:val="24"/>
          <w:lang w:val="ka-GE"/>
        </w:rPr>
        <w:t xml:space="preserve"> N</w:t>
      </w:r>
      <w:r w:rsidR="00F54B1F" w:rsidRPr="009B15F8">
        <w:rPr>
          <w:rFonts w:ascii="Sylfaen" w:hAnsi="Sylfaen"/>
          <w:sz w:val="24"/>
          <w:szCs w:val="24"/>
          <w:lang w:val="ka-GE"/>
        </w:rPr>
        <w:t>660</w:t>
      </w:r>
      <w:r w:rsidRPr="009B15F8">
        <w:rPr>
          <w:rFonts w:ascii="Sylfaen" w:hAnsi="Sylfaen"/>
          <w:sz w:val="24"/>
          <w:szCs w:val="24"/>
          <w:lang w:val="ka-GE"/>
        </w:rPr>
        <w:t xml:space="preserve"> დადგენილება</w:t>
      </w:r>
      <w:r w:rsidR="00667335">
        <w:rPr>
          <w:rFonts w:ascii="Sylfaen" w:hAnsi="Sylfaen"/>
          <w:sz w:val="24"/>
          <w:szCs w:val="24"/>
          <w:lang w:val="ka-GE"/>
        </w:rPr>
        <w:t>.</w:t>
      </w:r>
    </w:p>
    <w:p w:rsidR="00F416BA" w:rsidRPr="009B15F8" w:rsidRDefault="00F416BA" w:rsidP="009B15F8">
      <w:pPr>
        <w:spacing w:before="240"/>
        <w:jc w:val="both"/>
        <w:rPr>
          <w:rFonts w:ascii="Sylfaen" w:hAnsi="Sylfaen"/>
          <w:sz w:val="24"/>
          <w:szCs w:val="24"/>
          <w:lang w:val="ka-GE"/>
        </w:rPr>
      </w:pPr>
      <w:r w:rsidRPr="009B15F8">
        <w:rPr>
          <w:rFonts w:ascii="Sylfaen" w:hAnsi="Sylfaen"/>
          <w:b/>
          <w:sz w:val="24"/>
          <w:szCs w:val="24"/>
          <w:lang w:val="ka-GE"/>
        </w:rPr>
        <w:t>სააგენტო</w:t>
      </w:r>
      <w:r w:rsidRPr="009B15F8">
        <w:rPr>
          <w:rFonts w:ascii="Sylfaen" w:hAnsi="Sylfaen"/>
          <w:sz w:val="24"/>
          <w:szCs w:val="24"/>
          <w:lang w:val="ka-GE"/>
        </w:rPr>
        <w:t xml:space="preserve"> - სსიპ „სოციალური მომსახურების სააგენტო“</w:t>
      </w:r>
      <w:r w:rsidR="00667335">
        <w:rPr>
          <w:rFonts w:ascii="Sylfaen" w:hAnsi="Sylfaen"/>
          <w:sz w:val="24"/>
          <w:szCs w:val="24"/>
          <w:lang w:val="ka-GE"/>
        </w:rPr>
        <w:t>.</w:t>
      </w:r>
    </w:p>
    <w:p w:rsidR="00F416BA" w:rsidRPr="009B15F8" w:rsidRDefault="00446620" w:rsidP="009B15F8">
      <w:pPr>
        <w:spacing w:before="240"/>
        <w:jc w:val="both"/>
        <w:rPr>
          <w:rFonts w:ascii="Sylfaen" w:hAnsi="Sylfaen"/>
          <w:sz w:val="24"/>
          <w:szCs w:val="24"/>
          <w:lang w:val="ka-GE"/>
        </w:rPr>
      </w:pPr>
      <w:r w:rsidRPr="009B15F8">
        <w:rPr>
          <w:rFonts w:ascii="Sylfaen" w:hAnsi="Sylfaen"/>
          <w:b/>
          <w:sz w:val="24"/>
          <w:szCs w:val="24"/>
          <w:lang w:val="ka-GE"/>
        </w:rPr>
        <w:lastRenderedPageBreak/>
        <w:t xml:space="preserve">პროგრამის განმახორციელებელი </w:t>
      </w:r>
      <w:r w:rsidR="00F416BA" w:rsidRPr="009B15F8">
        <w:rPr>
          <w:rFonts w:ascii="Sylfaen" w:hAnsi="Sylfaen"/>
          <w:sz w:val="24"/>
          <w:szCs w:val="24"/>
          <w:lang w:val="ka-GE"/>
        </w:rPr>
        <w:t xml:space="preserve">- </w:t>
      </w:r>
      <w:r w:rsidRPr="009B15F8">
        <w:rPr>
          <w:rFonts w:ascii="Sylfaen" w:hAnsi="Sylfaen"/>
          <w:sz w:val="24"/>
          <w:szCs w:val="24"/>
          <w:lang w:val="ka-GE"/>
        </w:rPr>
        <w:t xml:space="preserve"> სსიპ „სოციალური მომსახურების სააგენტო“</w:t>
      </w:r>
      <w:r w:rsidR="00667335">
        <w:rPr>
          <w:rFonts w:ascii="Sylfaen" w:hAnsi="Sylfaen"/>
          <w:sz w:val="24"/>
          <w:szCs w:val="24"/>
          <w:lang w:val="ka-GE"/>
        </w:rPr>
        <w:t>.</w:t>
      </w:r>
      <w:r w:rsidRPr="009B15F8">
        <w:rPr>
          <w:rFonts w:ascii="Sylfaen" w:hAnsi="Sylfaen"/>
          <w:sz w:val="24"/>
          <w:szCs w:val="24"/>
          <w:lang w:val="ka-GE"/>
        </w:rPr>
        <w:t xml:space="preserve"> </w:t>
      </w:r>
    </w:p>
    <w:p w:rsidR="00394397" w:rsidRPr="009B15F8" w:rsidRDefault="00394397" w:rsidP="009B15F8">
      <w:pPr>
        <w:spacing w:before="240" w:after="0"/>
        <w:jc w:val="both"/>
        <w:rPr>
          <w:rFonts w:ascii="Sylfaen" w:hAnsi="Sylfaen"/>
          <w:sz w:val="24"/>
          <w:szCs w:val="24"/>
          <w:lang w:val="ka-GE"/>
        </w:rPr>
      </w:pPr>
      <w:r w:rsidRPr="009B15F8">
        <w:rPr>
          <w:rFonts w:ascii="Sylfaen" w:hAnsi="Sylfaen"/>
          <w:b/>
          <w:sz w:val="24"/>
          <w:szCs w:val="24"/>
          <w:lang w:val="ka-GE"/>
        </w:rPr>
        <w:t>დეპარტამენტი</w:t>
      </w:r>
      <w:r w:rsidRPr="009B15F8">
        <w:rPr>
          <w:rFonts w:ascii="Sylfaen" w:hAnsi="Sylfaen"/>
          <w:sz w:val="24"/>
          <w:szCs w:val="24"/>
          <w:lang w:val="ka-GE"/>
        </w:rPr>
        <w:t xml:space="preserve"> - სსიპ-სოციალური მომსახურების სააგენტოს ჯანმრთელობის დაცვის დეპარტამენტი.</w:t>
      </w:r>
    </w:p>
    <w:p w:rsidR="00394397" w:rsidRDefault="00394397" w:rsidP="006C3FC8">
      <w:pPr>
        <w:spacing w:before="240"/>
        <w:jc w:val="both"/>
        <w:rPr>
          <w:rFonts w:ascii="Sylfaen" w:hAnsi="Sylfaen"/>
          <w:sz w:val="24"/>
          <w:szCs w:val="24"/>
        </w:rPr>
      </w:pPr>
    </w:p>
    <w:p w:rsidR="00667335" w:rsidRDefault="008932A8" w:rsidP="00E9053C">
      <w:pPr>
        <w:pStyle w:val="Heading1"/>
        <w:spacing w:before="240"/>
        <w:rPr>
          <w:rFonts w:ascii="Sylfaen" w:hAnsi="Sylfaen" w:cs="Sylfaen"/>
          <w:color w:val="17365D" w:themeColor="text2" w:themeShade="BF"/>
          <w:lang w:val="ka-GE"/>
        </w:rPr>
      </w:pPr>
      <w:bookmarkStart w:id="3" w:name="_Toc470619480"/>
      <w:bookmarkStart w:id="4" w:name="_Toc473037938"/>
      <w:bookmarkStart w:id="5" w:name="_Toc473038333"/>
      <w:r w:rsidRPr="008932A8">
        <w:rPr>
          <w:rFonts w:ascii="Sylfaen" w:hAnsi="Sylfaen" w:cs="Sylfaen"/>
          <w:color w:val="17365D" w:themeColor="text2" w:themeShade="BF"/>
          <w:lang w:val="ka-GE"/>
        </w:rPr>
        <w:t>შემაჯამებელი მიმოხილვა</w:t>
      </w:r>
      <w:bookmarkEnd w:id="3"/>
      <w:bookmarkEnd w:id="4"/>
      <w:bookmarkEnd w:id="5"/>
    </w:p>
    <w:p w:rsidR="008932A8" w:rsidRPr="008932A8" w:rsidRDefault="008932A8" w:rsidP="00E9053C">
      <w:pPr>
        <w:spacing w:before="240"/>
        <w:ind w:firstLine="720"/>
        <w:jc w:val="both"/>
        <w:rPr>
          <w:rFonts w:ascii="Sylfaen" w:eastAsiaTheme="minorHAnsi" w:hAnsi="Sylfaen" w:cstheme="minorBidi"/>
          <w:b/>
          <w:sz w:val="24"/>
          <w:szCs w:val="24"/>
          <w:lang w:val="ka-GE"/>
        </w:rPr>
      </w:pPr>
      <w:r w:rsidRPr="008932A8">
        <w:rPr>
          <w:rFonts w:ascii="Sylfaen" w:eastAsiaTheme="minorHAnsi" w:hAnsi="Sylfaen" w:cstheme="minorBidi"/>
          <w:sz w:val="24"/>
          <w:szCs w:val="24"/>
          <w:lang w:val="ka-GE"/>
        </w:rPr>
        <w:t xml:space="preserve">აუდიტის შედეგად </w:t>
      </w:r>
      <w:r w:rsidRPr="008932A8">
        <w:rPr>
          <w:rFonts w:ascii="Sylfaen" w:eastAsiaTheme="minorHAnsi" w:hAnsi="Sylfaen" w:cstheme="minorBidi"/>
          <w:b/>
          <w:sz w:val="24"/>
          <w:szCs w:val="24"/>
          <w:lang w:val="ka-GE"/>
        </w:rPr>
        <w:t>გამოვლინდა შემდეგი:</w:t>
      </w:r>
    </w:p>
    <w:p w:rsidR="008932A8" w:rsidRPr="002F4EC1" w:rsidRDefault="008932A8" w:rsidP="00E905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/>
        <w:ind w:firstLine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2F4EC1">
        <w:rPr>
          <w:rFonts w:ascii="Sylfaen" w:eastAsia="Sylfaen" w:hAnsi="Sylfaen" w:cstheme="minorBidi"/>
          <w:b/>
          <w:sz w:val="24"/>
          <w:szCs w:val="24"/>
          <w:lang w:val="ka-GE"/>
        </w:rPr>
        <w:t>1.</w:t>
      </w:r>
      <w:r>
        <w:rPr>
          <w:rFonts w:ascii="Sylfaen" w:eastAsia="Sylfaen" w:hAnsi="Sylfaen" w:cstheme="minorBidi"/>
          <w:b/>
          <w:sz w:val="24"/>
          <w:szCs w:val="24"/>
          <w:lang w:val="ka-GE"/>
        </w:rPr>
        <w:t xml:space="preserve"> პროგრამის ადმინისტრირების არსებული წესი სრულად ვერ </w:t>
      </w:r>
      <w:r w:rsidRPr="009221C4">
        <w:rPr>
          <w:rFonts w:ascii="Sylfaen" w:hAnsi="Sylfaen" w:cs="Sylfaen"/>
          <w:b/>
          <w:sz w:val="24"/>
          <w:szCs w:val="24"/>
          <w:lang w:val="ka-GE"/>
        </w:rPr>
        <w:t>გამორიცხავს</w:t>
      </w:r>
      <w:r w:rsidRPr="004D042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F4EC1">
        <w:rPr>
          <w:rFonts w:ascii="Sylfaen" w:eastAsia="Sylfaen" w:hAnsi="Sylfaen"/>
          <w:b/>
          <w:sz w:val="24"/>
          <w:szCs w:val="24"/>
          <w:lang w:val="ka-GE"/>
        </w:rPr>
        <w:t>ამბულატორიული პალიატიური მომსახურების მიწოდების  როგორც 6 თვიანი ვადის,  ასევე</w:t>
      </w:r>
      <w:r>
        <w:rPr>
          <w:rFonts w:ascii="Sylfaen" w:eastAsia="Sylfaen" w:hAnsi="Sylfaen"/>
          <w:b/>
          <w:sz w:val="24"/>
          <w:szCs w:val="24"/>
          <w:lang w:val="ka-GE"/>
        </w:rPr>
        <w:t>,</w:t>
      </w:r>
      <w:r w:rsidRPr="002F4EC1">
        <w:rPr>
          <w:rFonts w:ascii="Sylfaen" w:eastAsia="Sylfaen" w:hAnsi="Sylfaen"/>
          <w:b/>
          <w:sz w:val="24"/>
          <w:szCs w:val="24"/>
          <w:lang w:val="ka-GE"/>
        </w:rPr>
        <w:t xml:space="preserve"> თვეში დადგენილი მაქსიმალური 8 ვიზიტის 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შესახებ </w:t>
      </w:r>
      <w:r w:rsidRPr="002F4EC1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პროგრამით გათვალისწინებული </w:t>
      </w:r>
      <w:r>
        <w:rPr>
          <w:rFonts w:ascii="Sylfaen" w:eastAsia="Sylfaen" w:hAnsi="Sylfaen"/>
          <w:b/>
          <w:sz w:val="24"/>
          <w:szCs w:val="24"/>
          <w:lang w:val="ka-GE"/>
        </w:rPr>
        <w:t>მოთხოვნების დარღვევის შესაძლებლობას</w:t>
      </w:r>
      <w:r w:rsidRPr="002F4EC1">
        <w:rPr>
          <w:rFonts w:ascii="Sylfaen" w:eastAsia="Sylfaen" w:hAnsi="Sylfaen"/>
          <w:b/>
          <w:sz w:val="24"/>
          <w:szCs w:val="24"/>
          <w:lang w:val="ka-GE"/>
        </w:rPr>
        <w:t>.</w:t>
      </w:r>
    </w:p>
    <w:p w:rsidR="008932A8" w:rsidRDefault="008932A8" w:rsidP="008932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/>
        <w:ind w:firstLine="567"/>
        <w:jc w:val="both"/>
        <w:rPr>
          <w:rFonts w:ascii="Sylfaen" w:eastAsia="Sylfaen" w:hAnsi="Sylfaen" w:cstheme="minorBidi"/>
          <w:sz w:val="24"/>
          <w:szCs w:val="24"/>
          <w:lang w:val="ka-GE"/>
        </w:rPr>
      </w:pPr>
      <w:r w:rsidRPr="004D042E">
        <w:rPr>
          <w:rFonts w:ascii="Sylfaen" w:eastAsia="Sylfaen" w:hAnsi="Sylfaen" w:cstheme="minorBidi"/>
          <w:sz w:val="24"/>
          <w:szCs w:val="24"/>
          <w:lang w:val="ka-GE"/>
        </w:rPr>
        <w:t>გამოვლინდა ერთეული შემთხვევ</w:t>
      </w:r>
      <w:r>
        <w:rPr>
          <w:rFonts w:ascii="Sylfaen" w:eastAsia="Sylfaen" w:hAnsi="Sylfaen" w:cstheme="minorBidi"/>
          <w:sz w:val="24"/>
          <w:szCs w:val="24"/>
          <w:lang w:val="ka-GE"/>
        </w:rPr>
        <w:t>ები</w:t>
      </w:r>
      <w:r w:rsidRPr="004D042E">
        <w:rPr>
          <w:rFonts w:ascii="Sylfaen" w:eastAsia="Sylfaen" w:hAnsi="Sylfaen" w:cstheme="minorBidi"/>
          <w:sz w:val="24"/>
          <w:szCs w:val="24"/>
          <w:lang w:val="ka-GE"/>
        </w:rPr>
        <w:t>, როდესაც ბენეფიციარი პროგრამაში ჩართული იყო 6 თვეზე მეტი ვადით და/ან იღებდა თვეში პროგრამით დადგენილ 8 ვიზიტზე მეტს.</w:t>
      </w:r>
      <w:r>
        <w:rPr>
          <w:rFonts w:ascii="Sylfaen" w:eastAsia="Sylfaen" w:hAnsi="Sylfaen" w:cstheme="minorBidi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გასათვალისწინებელია, რომ წარმოდგენილ დარღვევათა რაოდენობა არაარსებითია, თუმცა </w:t>
      </w:r>
      <w:r w:rsidRPr="004D042E">
        <w:rPr>
          <w:rFonts w:ascii="Sylfaen" w:hAnsi="Sylfaen" w:cs="Sylfaen"/>
          <w:sz w:val="24"/>
          <w:szCs w:val="24"/>
          <w:lang w:val="ka-GE"/>
        </w:rPr>
        <w:t>როგორც მოწოდებული ინფორმაციის დამუშავებით გაირკვა, საანგარიშგებო დოკუმენტაციის ინ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Pr="004D042E">
        <w:rPr>
          <w:rFonts w:ascii="Sylfaen" w:hAnsi="Sylfaen" w:cs="Sylfaen"/>
          <w:sz w:val="24"/>
          <w:szCs w:val="24"/>
          <w:lang w:val="ka-GE"/>
        </w:rPr>
        <w:t xml:space="preserve">პექტირებისას არ არის შემუშავებული ისეთი სისტემა, რომელიც სრულად გამორიცხავს </w:t>
      </w:r>
      <w:r w:rsidRPr="004D042E">
        <w:rPr>
          <w:rFonts w:ascii="Sylfaen" w:eastAsia="Sylfaen" w:hAnsi="Sylfaen" w:cstheme="minorBidi"/>
          <w:sz w:val="24"/>
          <w:szCs w:val="24"/>
          <w:lang w:val="ka-GE"/>
        </w:rPr>
        <w:t>პროგრამით გათვალისწინებული ამბულატორიული პალიატიური მომსახურების მიწოდების ნაწილში პროგრამით განსაზღვრული როგორც 6 თვიანი ვადის დარღვევის შესაძლებლობას,  ასევე თვეში დადგენილი მაქსიმალური 8 ვიზიტის გადაჭარბების შემთხვევების არსებობას</w:t>
      </w:r>
      <w:r>
        <w:rPr>
          <w:rFonts w:ascii="Sylfaen" w:eastAsia="Sylfaen" w:hAnsi="Sylfaen" w:cstheme="minorBidi"/>
          <w:sz w:val="24"/>
          <w:szCs w:val="24"/>
          <w:lang w:val="ka-GE"/>
        </w:rPr>
        <w:t>.</w:t>
      </w:r>
    </w:p>
    <w:p w:rsidR="008932A8" w:rsidRPr="00667335" w:rsidRDefault="008932A8" w:rsidP="008932A8">
      <w:pPr>
        <w:spacing w:before="240" w:after="0"/>
        <w:ind w:right="-31" w:firstLine="720"/>
        <w:jc w:val="both"/>
        <w:rPr>
          <w:rFonts w:ascii="Sylfaen" w:hAnsi="Sylfaen" w:cs="Sylfaen"/>
          <w:b/>
          <w:color w:val="17365D" w:themeColor="text2" w:themeShade="BF"/>
          <w:sz w:val="24"/>
          <w:szCs w:val="24"/>
          <w:u w:val="single"/>
          <w:lang w:val="ka-GE"/>
        </w:rPr>
      </w:pPr>
      <w:r w:rsidRPr="00667335">
        <w:rPr>
          <w:rFonts w:ascii="Sylfaen" w:hAnsi="Sylfaen" w:cs="Sylfaen"/>
          <w:b/>
          <w:color w:val="17365D" w:themeColor="text2" w:themeShade="BF"/>
          <w:sz w:val="24"/>
          <w:szCs w:val="24"/>
          <w:u w:val="single"/>
          <w:lang w:val="ka-GE"/>
        </w:rPr>
        <w:t>რეკომენდაცია:</w:t>
      </w:r>
    </w:p>
    <w:p w:rsidR="008932A8" w:rsidRDefault="008932A8" w:rsidP="008932A8">
      <w:pPr>
        <w:spacing w:before="240" w:after="0"/>
        <w:ind w:right="-31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სააგენტომ უზრუნველყოს პროგრამის ზედამხედველობის სისტემის დახვეწა, რათა  გამოირიცხოს </w:t>
      </w:r>
      <w:r w:rsidRPr="002F4EC1">
        <w:rPr>
          <w:rFonts w:ascii="Sylfaen" w:eastAsia="Sylfaen" w:hAnsi="Sylfaen"/>
          <w:b/>
          <w:sz w:val="24"/>
          <w:szCs w:val="24"/>
          <w:lang w:val="ka-GE"/>
        </w:rPr>
        <w:t>ამბულატორიული პალიატიური მომსახურების მიწოდების  როგორც 6 თვიანი ვადის,  ასევე თვეში დადგენილი მაქსიმალური 8 ვიზიტის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მოთხოვნათა დარღვევის შესაძლებლობა.</w:t>
      </w:r>
    </w:p>
    <w:p w:rsidR="00E9053C" w:rsidRDefault="00E9053C" w:rsidP="008932A8">
      <w:pPr>
        <w:spacing w:before="240" w:after="0"/>
        <w:ind w:right="-31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8932A8" w:rsidRDefault="008932A8" w:rsidP="008932A8">
      <w:pPr>
        <w:spacing w:before="240" w:after="0"/>
        <w:ind w:right="-31"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4D042E">
        <w:rPr>
          <w:rFonts w:ascii="Sylfaen" w:hAnsi="Sylfaen"/>
          <w:b/>
          <w:sz w:val="24"/>
          <w:szCs w:val="24"/>
          <w:lang w:val="ka-GE"/>
        </w:rPr>
        <w:t xml:space="preserve">2. </w:t>
      </w:r>
      <w:r w:rsidRPr="004D042E">
        <w:rPr>
          <w:rFonts w:ascii="Sylfaen" w:hAnsi="Sylfaen" w:cs="Sylfaen"/>
          <w:b/>
          <w:sz w:val="24"/>
          <w:szCs w:val="24"/>
          <w:lang w:val="ka-GE"/>
        </w:rPr>
        <w:t>ჯანმრთელობის დაცვის სახელმწიფო პროგრამების ფარგლებში დამდგარი სამედიცინო შემთხვევების შერჩევითი მონიტორინგის</w:t>
      </w:r>
      <w:r w:rsidRPr="004D042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4D042E">
        <w:rPr>
          <w:rFonts w:ascii="Sylfaen" w:hAnsi="Sylfaen"/>
          <w:b/>
          <w:sz w:val="24"/>
          <w:szCs w:val="24"/>
          <w:lang w:val="ka-GE"/>
        </w:rPr>
        <w:t>კანონმდებლობით დადგენილზე ნაკლები რაოდენობით განხორციელების შემთხ</w:t>
      </w:r>
      <w:r>
        <w:rPr>
          <w:rFonts w:ascii="Sylfaen" w:hAnsi="Sylfaen"/>
          <w:b/>
          <w:sz w:val="24"/>
          <w:szCs w:val="24"/>
          <w:lang w:val="ka-GE"/>
        </w:rPr>
        <w:t>ვ</w:t>
      </w:r>
      <w:r w:rsidRPr="004D042E">
        <w:rPr>
          <w:rFonts w:ascii="Sylfaen" w:hAnsi="Sylfaen"/>
          <w:b/>
          <w:sz w:val="24"/>
          <w:szCs w:val="24"/>
          <w:lang w:val="ka-GE"/>
        </w:rPr>
        <w:t>ევები</w:t>
      </w:r>
    </w:p>
    <w:p w:rsidR="00E9053C" w:rsidRPr="00667335" w:rsidRDefault="00E9053C" w:rsidP="00E905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0" w:lineRule="atLeast"/>
        <w:ind w:firstLine="720"/>
        <w:jc w:val="both"/>
        <w:rPr>
          <w:rFonts w:ascii="Sylfaen" w:hAnsi="Sylfaen" w:cs="Sylfaen"/>
          <w:b/>
          <w:color w:val="17365D" w:themeColor="text2" w:themeShade="BF"/>
          <w:sz w:val="24"/>
          <w:szCs w:val="24"/>
          <w:u w:val="single"/>
          <w:lang w:val="ka-GE"/>
        </w:rPr>
      </w:pPr>
      <w:r w:rsidRPr="00667335">
        <w:rPr>
          <w:rFonts w:ascii="Sylfaen" w:hAnsi="Sylfaen" w:cs="Sylfaen"/>
          <w:b/>
          <w:color w:val="17365D" w:themeColor="text2" w:themeShade="BF"/>
          <w:sz w:val="24"/>
          <w:szCs w:val="24"/>
          <w:u w:val="single"/>
          <w:lang w:val="ka-GE"/>
        </w:rPr>
        <w:lastRenderedPageBreak/>
        <w:t>რეკომენდაცია:</w:t>
      </w:r>
    </w:p>
    <w:p w:rsidR="00E9053C" w:rsidRPr="000473D0" w:rsidRDefault="00E9053C" w:rsidP="00E905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0473D0">
        <w:rPr>
          <w:rFonts w:ascii="Sylfaen" w:hAnsi="Sylfaen" w:cs="Sylfaen"/>
          <w:b/>
          <w:sz w:val="24"/>
          <w:szCs w:val="24"/>
          <w:lang w:val="ka-GE"/>
        </w:rPr>
        <w:t xml:space="preserve">სააგენტოს შესაბამისი ერთეულის მიერ გამკაცრდეს ზედამხედველობა </w:t>
      </w:r>
      <w:r w:rsidRPr="000473D0">
        <w:rPr>
          <w:rFonts w:ascii="Sylfaen" w:hAnsi="Sylfaen"/>
          <w:b/>
          <w:sz w:val="24"/>
          <w:szCs w:val="24"/>
          <w:lang w:val="ka-GE"/>
        </w:rPr>
        <w:t xml:space="preserve">სააგენტოს დირექტორის 2016 წლის 27 იანვრის </w:t>
      </w:r>
      <w:r w:rsidRPr="000473D0">
        <w:rPr>
          <w:rFonts w:ascii="Sylfaen" w:hAnsi="Sylfaen"/>
          <w:b/>
          <w:sz w:val="24"/>
          <w:szCs w:val="24"/>
          <w:lang w:val="ru-RU"/>
        </w:rPr>
        <w:t>№</w:t>
      </w:r>
      <w:r w:rsidRPr="000473D0">
        <w:rPr>
          <w:rFonts w:ascii="Sylfaen" w:hAnsi="Sylfaen"/>
          <w:b/>
          <w:sz w:val="24"/>
          <w:szCs w:val="24"/>
          <w:lang w:val="ka-GE"/>
        </w:rPr>
        <w:t xml:space="preserve">04-34/ო ბრძანებით დამტკიცებული </w:t>
      </w:r>
      <w:r w:rsidRPr="000473D0">
        <w:rPr>
          <w:rFonts w:ascii="Sylfaen" w:hAnsi="Sylfaen" w:cs="Sylfaen"/>
          <w:b/>
          <w:sz w:val="24"/>
          <w:szCs w:val="24"/>
          <w:lang w:val="ka-GE"/>
        </w:rPr>
        <w:t>ჯანმრთელობის დაცვის სახელმწიფო პროგრამების ფარგლებში დამდგარი სამედიცინო შემთხვევების შერჩევითი მონიტორინგის წესის მოთხოვნათა განუხრელ დაცვაზე.</w:t>
      </w:r>
    </w:p>
    <w:p w:rsidR="00E9053C" w:rsidRPr="000473D0" w:rsidRDefault="00E9053C" w:rsidP="00E905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E9053C" w:rsidRPr="001A6020" w:rsidRDefault="00E9053C" w:rsidP="00E9053C">
      <w:pPr>
        <w:spacing w:before="240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A6020">
        <w:rPr>
          <w:rFonts w:ascii="Sylfaen" w:hAnsi="Sylfaen" w:cs="Sylfaen"/>
          <w:b/>
          <w:sz w:val="24"/>
          <w:szCs w:val="24"/>
          <w:lang w:val="ka-GE"/>
        </w:rPr>
        <w:t>3. პროგრამით არ არის განსაზღვრული ინკურაბელურ პაციენტთა მედიკამენტებით უზრუნველყოფის კომპონენტში ხანგრძლივად ჩართული პაციენტების შემთხვევაში რისკების იდენტიფიცირების ვალდებულება</w:t>
      </w:r>
      <w:r>
        <w:rPr>
          <w:rFonts w:ascii="Sylfaen" w:hAnsi="Sylfaen" w:cs="Sylfaen"/>
          <w:b/>
          <w:sz w:val="24"/>
          <w:szCs w:val="24"/>
          <w:lang w:val="ka-GE"/>
        </w:rPr>
        <w:t>, მედიკამენტის ს</w:t>
      </w:r>
      <w:r w:rsidRPr="001A6020">
        <w:rPr>
          <w:rFonts w:ascii="Sylfaen" w:hAnsi="Sylfaen" w:cs="Sylfaen"/>
          <w:b/>
          <w:sz w:val="24"/>
          <w:szCs w:val="24"/>
          <w:lang w:val="ka-GE"/>
        </w:rPr>
        <w:t>პეციფიკურობის გათვალისწინებით.</w:t>
      </w:r>
    </w:p>
    <w:p w:rsidR="00E9053C" w:rsidRDefault="00E9053C" w:rsidP="00E9053C">
      <w:pPr>
        <w:spacing w:before="24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აუდიტის შედეგად გამოვლინდა შემთხვევები, როდესაც პაციენტი ნარკოტიკულ საშუალებებს იღებს ერთ წელზე მეტი ვადით, მათ შორის - </w:t>
      </w:r>
      <w:r w:rsidRPr="005D4DAA">
        <w:rPr>
          <w:rFonts w:ascii="Sylfaen" w:hAnsi="Sylfaen" w:cs="Sylfaen"/>
          <w:b/>
          <w:sz w:val="24"/>
          <w:szCs w:val="24"/>
          <w:lang w:val="ka-GE"/>
        </w:rPr>
        <w:t>ოთხი და მეტი წლით.</w:t>
      </w:r>
      <w:r>
        <w:rPr>
          <w:rFonts w:ascii="Sylfaen" w:hAnsi="Sylfaen" w:cs="Sylfaen"/>
          <w:sz w:val="24"/>
          <w:szCs w:val="24"/>
          <w:lang w:val="ka-GE"/>
        </w:rPr>
        <w:t xml:space="preserve"> თუმცა, </w:t>
      </w:r>
      <w:r w:rsidRPr="005D4DAA">
        <w:rPr>
          <w:rFonts w:ascii="Sylfaen" w:hAnsi="Sylfaen" w:cs="Sylfaen"/>
          <w:sz w:val="24"/>
          <w:szCs w:val="24"/>
          <w:lang w:val="ka-GE"/>
        </w:rPr>
        <w:t xml:space="preserve">როგორც საკითხის შესწავლით გაირკვა, პროგრამაში ჩართული აღნიშნული კატეგორიის ბენეფიციარების შემთხვევაში არ არის განსაზღვრული ზედამხედველობის რაიმე ეტაპი, რომელიც უზრუნველყოფს </w:t>
      </w:r>
      <w:r>
        <w:rPr>
          <w:rFonts w:ascii="Sylfaen" w:hAnsi="Sylfaen" w:cs="Sylfaen"/>
          <w:sz w:val="24"/>
          <w:szCs w:val="24"/>
          <w:lang w:val="ka-GE"/>
        </w:rPr>
        <w:t xml:space="preserve">მედიკამენტის კომპონენტით </w:t>
      </w:r>
      <w:r w:rsidRPr="005D4DAA">
        <w:rPr>
          <w:rFonts w:ascii="Sylfaen" w:hAnsi="Sylfaen" w:cs="Sylfaen"/>
          <w:sz w:val="24"/>
          <w:szCs w:val="24"/>
          <w:lang w:val="ka-GE"/>
        </w:rPr>
        <w:t>ხანგრძლივ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5D4DAA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გამოყენების საჭიროების მხრივ ანალიზსა და რისკების გამოვლენას, </w:t>
      </w:r>
      <w:r w:rsidRPr="005D4DAA">
        <w:rPr>
          <w:rFonts w:ascii="Sylfaen" w:hAnsi="Sylfaen" w:cs="Sylfaen"/>
          <w:sz w:val="24"/>
          <w:szCs w:val="24"/>
          <w:lang w:val="ka-GE"/>
        </w:rPr>
        <w:t xml:space="preserve">მედიკამენტის 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Pr="005D4DAA">
        <w:rPr>
          <w:rFonts w:ascii="Sylfaen" w:hAnsi="Sylfaen" w:cs="Sylfaen"/>
          <w:sz w:val="24"/>
          <w:szCs w:val="24"/>
          <w:lang w:val="ka-GE"/>
        </w:rPr>
        <w:t>პეციფიკურობის გათვალისწინებით.</w:t>
      </w:r>
    </w:p>
    <w:p w:rsidR="00E9053C" w:rsidRPr="00667335" w:rsidRDefault="00E9053C" w:rsidP="00E9053C">
      <w:pPr>
        <w:spacing w:before="240"/>
        <w:ind w:firstLine="720"/>
        <w:jc w:val="both"/>
        <w:rPr>
          <w:rFonts w:ascii="Sylfaen" w:hAnsi="Sylfaen" w:cs="Sylfaen"/>
          <w:b/>
          <w:color w:val="17365D" w:themeColor="text2" w:themeShade="BF"/>
          <w:sz w:val="24"/>
          <w:szCs w:val="24"/>
          <w:u w:val="single"/>
          <w:lang w:val="ka-GE"/>
        </w:rPr>
      </w:pPr>
      <w:r w:rsidRPr="00667335">
        <w:rPr>
          <w:rFonts w:ascii="Sylfaen" w:hAnsi="Sylfaen" w:cs="Sylfaen"/>
          <w:b/>
          <w:color w:val="17365D" w:themeColor="text2" w:themeShade="BF"/>
          <w:sz w:val="24"/>
          <w:szCs w:val="24"/>
          <w:u w:val="single"/>
          <w:lang w:val="ka-GE"/>
        </w:rPr>
        <w:t>რეკომენდაცია:</w:t>
      </w:r>
    </w:p>
    <w:p w:rsidR="00E9053C" w:rsidRPr="00DD4BCA" w:rsidRDefault="00E9053C" w:rsidP="00E9053C">
      <w:pPr>
        <w:spacing w:before="240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სამინისტროს ჯანმრთელობის დაცვის დეპარტამენტმა, მომავალი წლის პროგრამის პროექტის შემუშავებისას გაითვალისწინოს </w:t>
      </w:r>
      <w:r w:rsidRPr="001A6020">
        <w:rPr>
          <w:rFonts w:ascii="Sylfaen" w:hAnsi="Sylfaen" w:cs="Sylfaen"/>
          <w:b/>
          <w:sz w:val="24"/>
          <w:szCs w:val="24"/>
          <w:lang w:val="ka-GE"/>
        </w:rPr>
        <w:t>ინკურაბელურ პაციენტთა მედიკამენტებით უზრუნველყოფის კომპონენტში ხანგრძლივად ჩართული პაციენტების შემთხვევაში რისკების იდენტიფიცირების ვალდებულება</w:t>
      </w:r>
      <w:r>
        <w:rPr>
          <w:rFonts w:ascii="Sylfaen" w:hAnsi="Sylfaen" w:cs="Sylfaen"/>
          <w:b/>
          <w:sz w:val="24"/>
          <w:szCs w:val="24"/>
          <w:lang w:val="ka-GE"/>
        </w:rPr>
        <w:t>, მედიკამენტის ს</w:t>
      </w:r>
      <w:r w:rsidRPr="001A6020">
        <w:rPr>
          <w:rFonts w:ascii="Sylfaen" w:hAnsi="Sylfaen" w:cs="Sylfaen"/>
          <w:b/>
          <w:sz w:val="24"/>
          <w:szCs w:val="24"/>
          <w:lang w:val="ka-GE"/>
        </w:rPr>
        <w:t>პეციფიკურობის გათვალისწინებით</w:t>
      </w:r>
      <w:r>
        <w:rPr>
          <w:rFonts w:ascii="Sylfaen" w:hAnsi="Sylfaen" w:cs="Sylfaen"/>
          <w:b/>
          <w:sz w:val="24"/>
          <w:szCs w:val="24"/>
          <w:lang w:val="ka-GE"/>
        </w:rPr>
        <w:t>.</w:t>
      </w:r>
      <w:r w:rsidRPr="006861C2">
        <w:rPr>
          <w:rFonts w:ascii="Sylfaen" w:hAnsi="Sylfaen" w:cs="Sylfaen"/>
          <w:b/>
          <w:sz w:val="24"/>
          <w:szCs w:val="24"/>
          <w:u w:val="single"/>
          <w:lang w:val="ka-GE"/>
        </w:rPr>
        <w:t xml:space="preserve"> </w:t>
      </w:r>
    </w:p>
    <w:p w:rsidR="008932A8" w:rsidRDefault="008932A8" w:rsidP="00667335">
      <w:pPr>
        <w:rPr>
          <w:rFonts w:ascii="Sylfaen" w:hAnsi="Sylfaen"/>
          <w:lang w:val="ka-GE"/>
        </w:rPr>
      </w:pPr>
    </w:p>
    <w:p w:rsidR="008932A8" w:rsidRPr="00E9053C" w:rsidRDefault="008932A8" w:rsidP="008932A8">
      <w:pPr>
        <w:spacing w:before="240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E9053C">
        <w:rPr>
          <w:rFonts w:ascii="Sylfaen" w:hAnsi="Sylfaen"/>
          <w:b/>
          <w:sz w:val="24"/>
          <w:szCs w:val="24"/>
          <w:lang w:val="ka-GE"/>
        </w:rPr>
        <w:t xml:space="preserve">სააგენტოს პოზიცია: </w:t>
      </w:r>
    </w:p>
    <w:p w:rsidR="008932A8" w:rsidRPr="00DD4122" w:rsidRDefault="008932A8" w:rsidP="008932A8">
      <w:pPr>
        <w:spacing w:before="24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D4122">
        <w:rPr>
          <w:rFonts w:ascii="Sylfaen" w:eastAsia="Sylfaen" w:hAnsi="Sylfaen"/>
          <w:sz w:val="24"/>
          <w:szCs w:val="24"/>
          <w:lang w:val="ka-GE"/>
        </w:rPr>
        <w:t xml:space="preserve">პროგრამით დადგენილი მაქსიმალური 8 ვიზიტის მოთხოვნის დაუცველობის შესახებ ანგარიშის </w:t>
      </w:r>
      <w:r w:rsidR="00037AC5">
        <w:rPr>
          <w:rFonts w:ascii="Sylfaen" w:eastAsia="Sylfaen" w:hAnsi="Sylfaen"/>
          <w:sz w:val="24"/>
          <w:szCs w:val="24"/>
          <w:lang w:val="ka-GE"/>
        </w:rPr>
        <w:t>პირველ</w:t>
      </w:r>
      <w:r w:rsidRPr="00DD4122">
        <w:rPr>
          <w:rFonts w:ascii="Sylfaen" w:eastAsia="Sylfaen" w:hAnsi="Sylfaen"/>
          <w:sz w:val="24"/>
          <w:szCs w:val="24"/>
          <w:lang w:val="ka-GE"/>
        </w:rPr>
        <w:t xml:space="preserve"> მიგნებაში დაფიქსირებული შემთხვევის თაობაზე </w:t>
      </w:r>
      <w:r w:rsidRPr="00DD4122">
        <w:rPr>
          <w:rFonts w:ascii="Sylfaen" w:hAnsi="Sylfaen"/>
          <w:sz w:val="24"/>
          <w:szCs w:val="24"/>
          <w:lang w:val="ka-GE"/>
        </w:rPr>
        <w:t xml:space="preserve">სააგენტოს დირექტორის 2017 წლის 20 იანვრის </w:t>
      </w:r>
      <w:r w:rsidRPr="00DD4122">
        <w:rPr>
          <w:sz w:val="24"/>
          <w:szCs w:val="24"/>
        </w:rPr>
        <w:t>№ 04/3333</w:t>
      </w:r>
      <w:r w:rsidRPr="00DD4122">
        <w:rPr>
          <w:rFonts w:ascii="Sylfaen" w:hAnsi="Sylfaen"/>
          <w:sz w:val="24"/>
          <w:szCs w:val="24"/>
          <w:lang w:val="ka-GE"/>
        </w:rPr>
        <w:t xml:space="preserve"> წერილით წარმოდგენილი ინფორმაციის შესაბამისად, „პაციენტი აღრიცხვაზე იქნა აყვანილი 2015 წლის 21 დეკემბერს, ხოლო 2016 წლის 20 ივნისს მოხსნილი იქნა აღრიცხვიდან, პროგრამული მომსახურების </w:t>
      </w:r>
      <w:r w:rsidRPr="00DD4122">
        <w:rPr>
          <w:rFonts w:ascii="Sylfaen" w:hAnsi="Sylfaen"/>
          <w:sz w:val="24"/>
          <w:szCs w:val="24"/>
          <w:lang w:val="ka-GE"/>
        </w:rPr>
        <w:lastRenderedPageBreak/>
        <w:t>ფარგლებში 6 თვიანი ვადის ამოწურვის გამო. ამრიგად, აღნიშნულ ბენეფიციარს ,,ამბულატორიული პალიატიური მომსახურების“ კომპონენტის ფარგლებში 6 თვეზე მეტი ვადით მომსახურება არ მიუღია“.</w:t>
      </w:r>
    </w:p>
    <w:p w:rsidR="008932A8" w:rsidRPr="00DD4122" w:rsidRDefault="008932A8" w:rsidP="008932A8">
      <w:pPr>
        <w:spacing w:before="240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DD4122">
        <w:rPr>
          <w:rFonts w:ascii="Sylfaen" w:eastAsia="Sylfaen" w:hAnsi="Sylfaen"/>
          <w:sz w:val="24"/>
          <w:szCs w:val="24"/>
          <w:lang w:val="ka-GE"/>
        </w:rPr>
        <w:t>დადგენილების შესაბამისად, პროგრამის ინკურაბელურ პაციენტთა ამბულატორიული პალიატიური მზრუნველობის კომპონენტის ფარგლებში მომსახურების მიწოდების  მაქსიმალური ვადაა  6 თვე,  ხოლო თვეში დადგენილი მაქსიმალური  ვიზიტების ოდენობა შეადგენს 8-ს. ამდენად, კომპონენტის ფარგლებში მიწოდებული მომსახურების მაქსიმალური მოცულობა 48 ვიზიტია. წარმოდგენილ მიგნებაშ</w:t>
      </w:r>
      <w:r>
        <w:rPr>
          <w:rFonts w:ascii="Sylfaen" w:eastAsia="Sylfaen" w:hAnsi="Sylfaen"/>
          <w:sz w:val="24"/>
          <w:szCs w:val="24"/>
          <w:lang w:val="ka-GE"/>
        </w:rPr>
        <w:t>ი</w:t>
      </w:r>
      <w:r w:rsidRPr="00DD4122">
        <w:rPr>
          <w:rFonts w:ascii="Sylfaen" w:eastAsia="Sylfaen" w:hAnsi="Sylfaen"/>
          <w:sz w:val="24"/>
          <w:szCs w:val="24"/>
          <w:lang w:val="ka-GE"/>
        </w:rPr>
        <w:t xml:space="preserve"> დაფიქსირებულ შემთხვევაში კომპონენტის ფარგლებში ანაზღაურებულია 53 ვიზიტის ღირებულება.</w:t>
      </w:r>
    </w:p>
    <w:p w:rsidR="008932A8" w:rsidRPr="00DB3F7D" w:rsidRDefault="008932A8" w:rsidP="008932A8">
      <w:pPr>
        <w:spacing w:before="240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DD4122">
        <w:rPr>
          <w:rFonts w:ascii="Sylfaen" w:eastAsia="Sylfaen" w:hAnsi="Sylfaen"/>
          <w:sz w:val="24"/>
          <w:szCs w:val="24"/>
          <w:lang w:val="ka-GE"/>
        </w:rPr>
        <w:t>ვინაიდან სააგენტოს მიერ პროგრამის პირობებით განსაზღვრული მოთხოვნები ვადებისა და ვიზიტების შესახებ ინტერპრეტირებულია იმგვარად, რომ მომსახურების მოცულობას,</w:t>
      </w:r>
      <w:r>
        <w:rPr>
          <w:rFonts w:ascii="Sylfaen" w:eastAsia="Sylfaen" w:hAnsi="Sylfaen"/>
          <w:sz w:val="24"/>
          <w:szCs w:val="24"/>
          <w:lang w:val="ka-GE"/>
        </w:rPr>
        <w:t xml:space="preserve"> კერძოდ, ვიზიტების მაქსიმალურ ოდენობას,</w:t>
      </w:r>
      <w:r w:rsidRPr="00DD4122">
        <w:rPr>
          <w:rFonts w:ascii="Sylfaen" w:eastAsia="Sylfaen" w:hAnsi="Sylfaen"/>
          <w:sz w:val="24"/>
          <w:szCs w:val="24"/>
          <w:lang w:val="ka-GE"/>
        </w:rPr>
        <w:t xml:space="preserve"> 6-თვიანი ვადის დაცვის პირობებში, არ ექცევა სათანადო ყურადღება, მიზანშეწონილად მიგვაჩნია, </w:t>
      </w:r>
      <w:r w:rsidRPr="00DB3F7D">
        <w:rPr>
          <w:rFonts w:ascii="Sylfaen" w:eastAsia="Sylfaen" w:hAnsi="Sylfaen"/>
          <w:b/>
          <w:sz w:val="24"/>
          <w:szCs w:val="24"/>
          <w:lang w:val="ka-GE"/>
        </w:rPr>
        <w:t>სამინისტროს ჯანმრთელობის დაცვის დეპარტამენტმა დააზუსტოს მომსახურების მოცულობის მოთხოვნები.</w:t>
      </w:r>
    </w:p>
    <w:p w:rsidR="008932A8" w:rsidRDefault="008932A8" w:rsidP="00667335">
      <w:pPr>
        <w:rPr>
          <w:rFonts w:ascii="Sylfaen" w:hAnsi="Sylfaen"/>
          <w:lang w:val="ka-GE"/>
        </w:rPr>
      </w:pPr>
    </w:p>
    <w:p w:rsidR="00E9053C" w:rsidRPr="00667335" w:rsidRDefault="00E9053C" w:rsidP="00E9053C">
      <w:pPr>
        <w:pStyle w:val="Heading1"/>
        <w:spacing w:before="240"/>
        <w:rPr>
          <w:rFonts w:ascii="Sylfaen" w:hAnsi="Sylfaen" w:cs="Sylfaen"/>
          <w:color w:val="17365D" w:themeColor="text2" w:themeShade="BF"/>
          <w:lang w:val="ka-GE"/>
        </w:rPr>
      </w:pPr>
      <w:bookmarkStart w:id="6" w:name="_Toc473037939"/>
      <w:bookmarkStart w:id="7" w:name="_Toc473038334"/>
      <w:r>
        <w:rPr>
          <w:rFonts w:ascii="Sylfaen" w:hAnsi="Sylfaen" w:cs="Sylfaen"/>
          <w:color w:val="17365D" w:themeColor="text2" w:themeShade="BF"/>
          <w:lang w:val="ka-GE"/>
        </w:rPr>
        <w:t>აუდიტის შედეგები</w:t>
      </w:r>
      <w:bookmarkEnd w:id="6"/>
      <w:bookmarkEnd w:id="7"/>
      <w:r w:rsidRPr="00667335">
        <w:rPr>
          <w:rFonts w:ascii="Sylfaen" w:hAnsi="Sylfaen" w:cs="Sylfaen"/>
          <w:color w:val="17365D" w:themeColor="text2" w:themeShade="BF"/>
          <w:lang w:val="ka-GE"/>
        </w:rPr>
        <w:t xml:space="preserve"> </w:t>
      </w:r>
    </w:p>
    <w:p w:rsidR="00F10FC6" w:rsidRPr="00667335" w:rsidRDefault="00F10FC6" w:rsidP="00667335">
      <w:pPr>
        <w:pStyle w:val="Heading1"/>
        <w:numPr>
          <w:ilvl w:val="0"/>
          <w:numId w:val="1"/>
        </w:numPr>
        <w:spacing w:before="240"/>
        <w:ind w:left="0" w:firstLine="720"/>
        <w:rPr>
          <w:rFonts w:ascii="Sylfaen" w:hAnsi="Sylfaen" w:cs="Sylfaen"/>
          <w:color w:val="17365D" w:themeColor="text2" w:themeShade="BF"/>
          <w:lang w:val="ka-GE"/>
        </w:rPr>
      </w:pPr>
      <w:bookmarkStart w:id="8" w:name="_Toc473037940"/>
      <w:bookmarkStart w:id="9" w:name="_Toc473038335"/>
      <w:r w:rsidRPr="00667335">
        <w:rPr>
          <w:rFonts w:ascii="Sylfaen" w:hAnsi="Sylfaen" w:cs="Sylfaen"/>
          <w:color w:val="17365D" w:themeColor="text2" w:themeShade="BF"/>
          <w:lang w:val="ka-GE"/>
        </w:rPr>
        <w:t>აუდიტის მიზანი</w:t>
      </w:r>
      <w:bookmarkEnd w:id="8"/>
      <w:bookmarkEnd w:id="9"/>
      <w:r w:rsidRPr="00667335">
        <w:rPr>
          <w:rFonts w:ascii="Sylfaen" w:hAnsi="Sylfaen" w:cs="Sylfaen"/>
          <w:color w:val="17365D" w:themeColor="text2" w:themeShade="BF"/>
          <w:lang w:val="ka-GE"/>
        </w:rPr>
        <w:t xml:space="preserve"> </w:t>
      </w:r>
    </w:p>
    <w:p w:rsidR="00F10FC6" w:rsidRPr="009B15F8" w:rsidRDefault="00077A9D" w:rsidP="006C3F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</w:t>
      </w:r>
      <w:r w:rsidR="00F10FC6" w:rsidRPr="009B15F8">
        <w:rPr>
          <w:rFonts w:ascii="Sylfaen" w:hAnsi="Sylfaen"/>
          <w:sz w:val="24"/>
          <w:szCs w:val="24"/>
          <w:lang w:val="ka-GE"/>
        </w:rPr>
        <w:t xml:space="preserve">აუდიტის </w:t>
      </w:r>
      <w:r w:rsidR="009D5F93" w:rsidRPr="009B15F8">
        <w:rPr>
          <w:rFonts w:ascii="Sylfaen" w:hAnsi="Sylfaen"/>
          <w:sz w:val="24"/>
          <w:szCs w:val="24"/>
          <w:lang w:val="ka-GE"/>
        </w:rPr>
        <w:t>მიზანი</w:t>
      </w:r>
      <w:r w:rsidR="00E938BB" w:rsidRPr="009B15F8">
        <w:rPr>
          <w:rFonts w:ascii="Sylfaen" w:hAnsi="Sylfaen"/>
          <w:sz w:val="24"/>
          <w:szCs w:val="24"/>
          <w:lang w:val="ka-GE"/>
        </w:rPr>
        <w:t xml:space="preserve"> იყო </w:t>
      </w:r>
      <w:proofErr w:type="spellStart"/>
      <w:r w:rsidR="008E02AD" w:rsidRPr="009B15F8">
        <w:rPr>
          <w:rFonts w:ascii="Sylfaen" w:hAnsi="Sylfaen" w:cs="Calibri"/>
          <w:color w:val="000000"/>
          <w:sz w:val="24"/>
          <w:szCs w:val="24"/>
        </w:rPr>
        <w:t>ინკურაბელურ</w:t>
      </w:r>
      <w:proofErr w:type="spellEnd"/>
      <w:r w:rsidR="008E02AD" w:rsidRPr="009B15F8">
        <w:rPr>
          <w:rFonts w:ascii="Sylfaen" w:hAnsi="Sylfaen" w:cs="Calibri"/>
          <w:color w:val="000000"/>
          <w:sz w:val="24"/>
          <w:szCs w:val="24"/>
        </w:rPr>
        <w:t xml:space="preserve"> </w:t>
      </w:r>
      <w:proofErr w:type="spellStart"/>
      <w:r w:rsidR="008E02AD" w:rsidRPr="009B15F8">
        <w:rPr>
          <w:rFonts w:ascii="Sylfaen" w:hAnsi="Sylfaen" w:cs="Calibri"/>
          <w:color w:val="000000"/>
          <w:sz w:val="24"/>
          <w:szCs w:val="24"/>
        </w:rPr>
        <w:t>პაციენტთა</w:t>
      </w:r>
      <w:proofErr w:type="spellEnd"/>
      <w:r w:rsidR="008E02AD" w:rsidRPr="009B15F8">
        <w:rPr>
          <w:rFonts w:ascii="Sylfaen" w:hAnsi="Sylfaen" w:cs="Calibri"/>
          <w:color w:val="000000"/>
          <w:sz w:val="24"/>
          <w:szCs w:val="24"/>
        </w:rPr>
        <w:t xml:space="preserve"> </w:t>
      </w:r>
      <w:proofErr w:type="spellStart"/>
      <w:r w:rsidR="008E02AD" w:rsidRPr="009B15F8">
        <w:rPr>
          <w:rFonts w:ascii="Sylfaen" w:hAnsi="Sylfaen" w:cs="Calibri"/>
          <w:color w:val="000000"/>
          <w:sz w:val="24"/>
          <w:szCs w:val="24"/>
        </w:rPr>
        <w:t>პალიატიური</w:t>
      </w:r>
      <w:proofErr w:type="spellEnd"/>
      <w:r w:rsidR="008E02AD" w:rsidRPr="009B15F8">
        <w:rPr>
          <w:rFonts w:ascii="Sylfaen" w:hAnsi="Sylfaen" w:cs="Calibri"/>
          <w:color w:val="000000"/>
          <w:sz w:val="24"/>
          <w:szCs w:val="24"/>
        </w:rPr>
        <w:t xml:space="preserve"> </w:t>
      </w:r>
      <w:proofErr w:type="spellStart"/>
      <w:r w:rsidR="008E02AD" w:rsidRPr="009B15F8">
        <w:rPr>
          <w:rFonts w:ascii="Sylfaen" w:hAnsi="Sylfaen" w:cs="Calibri"/>
          <w:color w:val="000000"/>
          <w:sz w:val="24"/>
          <w:szCs w:val="24"/>
        </w:rPr>
        <w:t>მზრუნველობ</w:t>
      </w:r>
      <w:proofErr w:type="spellEnd"/>
      <w:r w:rsidR="008E02AD" w:rsidRPr="009B15F8">
        <w:rPr>
          <w:rFonts w:ascii="Sylfaen" w:hAnsi="Sylfaen" w:cs="Calibri"/>
          <w:color w:val="000000"/>
          <w:sz w:val="24"/>
          <w:szCs w:val="24"/>
          <w:lang w:val="ka-GE"/>
        </w:rPr>
        <w:t>ის</w:t>
      </w:r>
      <w:r w:rsidR="00E938BB" w:rsidRPr="009B15F8">
        <w:rPr>
          <w:rFonts w:ascii="Sylfaen" w:hAnsi="Sylfaen"/>
          <w:sz w:val="24"/>
          <w:szCs w:val="24"/>
          <w:lang w:val="ka-GE"/>
        </w:rPr>
        <w:t xml:space="preserve"> პროგრამის</w:t>
      </w:r>
      <w:r w:rsidR="00295DE0" w:rsidRPr="009B15F8">
        <w:rPr>
          <w:rFonts w:ascii="Sylfaen" w:hAnsi="Sylfaen"/>
          <w:sz w:val="24"/>
          <w:szCs w:val="24"/>
          <w:lang w:val="ka-GE"/>
        </w:rPr>
        <w:t xml:space="preserve"> (შემდგომში - პროგრამა)</w:t>
      </w:r>
      <w:r w:rsidR="00E938BB" w:rsidRPr="009B15F8">
        <w:rPr>
          <w:rFonts w:ascii="Sylfaen" w:hAnsi="Sylfaen"/>
          <w:sz w:val="24"/>
          <w:szCs w:val="24"/>
          <w:lang w:val="ka-GE"/>
        </w:rPr>
        <w:t xml:space="preserve"> ფარგლებში</w:t>
      </w:r>
      <w:r w:rsidR="00394397" w:rsidRPr="009B15F8">
        <w:rPr>
          <w:rFonts w:ascii="Sylfaen" w:hAnsi="Sylfaen"/>
          <w:sz w:val="24"/>
          <w:szCs w:val="24"/>
          <w:lang w:val="ka-GE"/>
        </w:rPr>
        <w:t>,</w:t>
      </w:r>
      <w:r w:rsidR="00E938BB" w:rsidRPr="009B15F8">
        <w:rPr>
          <w:rFonts w:ascii="Sylfaen" w:hAnsi="Sylfaen"/>
          <w:sz w:val="24"/>
          <w:szCs w:val="24"/>
          <w:lang w:val="ka-GE"/>
        </w:rPr>
        <w:t xml:space="preserve"> </w:t>
      </w:r>
      <w:r w:rsidR="008E02AD" w:rsidRPr="009B15F8">
        <w:rPr>
          <w:rFonts w:ascii="Sylfaen" w:hAnsi="Sylfaen"/>
          <w:sz w:val="24"/>
          <w:szCs w:val="24"/>
          <w:lang w:val="ka-GE"/>
        </w:rPr>
        <w:t>როგორც ,,</w:t>
      </w:r>
      <w:r w:rsidR="008E02AD" w:rsidRPr="009B15F8">
        <w:rPr>
          <w:rFonts w:ascii="Sylfaen" w:hAnsi="Sylfaen" w:cs="Sylfaen"/>
          <w:bCs/>
          <w:sz w:val="24"/>
          <w:szCs w:val="24"/>
        </w:rPr>
        <w:t xml:space="preserve">2016 </w:t>
      </w:r>
      <w:proofErr w:type="spellStart"/>
      <w:r w:rsidR="008E02AD" w:rsidRPr="009B15F8">
        <w:rPr>
          <w:rFonts w:ascii="Sylfaen" w:hAnsi="Sylfaen" w:cs="Sylfaen"/>
          <w:bCs/>
          <w:sz w:val="24"/>
          <w:szCs w:val="24"/>
        </w:rPr>
        <w:t>წლის</w:t>
      </w:r>
      <w:proofErr w:type="spellEnd"/>
      <w:r w:rsidR="008E02AD" w:rsidRPr="009B15F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E02AD" w:rsidRPr="009B15F8">
        <w:rPr>
          <w:rFonts w:ascii="Sylfaen" w:hAnsi="Sylfaen" w:cs="Sylfaen"/>
          <w:bCs/>
          <w:sz w:val="24"/>
          <w:szCs w:val="24"/>
        </w:rPr>
        <w:t>ჯანმრთელობის</w:t>
      </w:r>
      <w:proofErr w:type="spellEnd"/>
      <w:r w:rsidR="008E02AD" w:rsidRPr="009B15F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E02AD" w:rsidRPr="009B15F8">
        <w:rPr>
          <w:rFonts w:ascii="Sylfaen" w:hAnsi="Sylfaen" w:cs="Sylfaen"/>
          <w:bCs/>
          <w:sz w:val="24"/>
          <w:szCs w:val="24"/>
        </w:rPr>
        <w:t>დაცვის</w:t>
      </w:r>
      <w:proofErr w:type="spellEnd"/>
      <w:r w:rsidR="008E02AD" w:rsidRPr="009B15F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E02AD" w:rsidRPr="009B15F8">
        <w:rPr>
          <w:rFonts w:ascii="Sylfaen" w:hAnsi="Sylfaen" w:cs="Sylfaen"/>
          <w:bCs/>
          <w:sz w:val="24"/>
          <w:szCs w:val="24"/>
        </w:rPr>
        <w:t>სახელმწიფო</w:t>
      </w:r>
      <w:proofErr w:type="spellEnd"/>
      <w:r w:rsidR="008E02AD" w:rsidRPr="009B15F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E02AD" w:rsidRPr="009B15F8">
        <w:rPr>
          <w:rFonts w:ascii="Sylfaen" w:hAnsi="Sylfaen" w:cs="Sylfaen"/>
          <w:bCs/>
          <w:sz w:val="24"/>
          <w:szCs w:val="24"/>
        </w:rPr>
        <w:t>პროგრამების</w:t>
      </w:r>
      <w:proofErr w:type="spellEnd"/>
      <w:r w:rsidR="008E02AD" w:rsidRPr="009B15F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8E02AD" w:rsidRPr="009B15F8">
        <w:rPr>
          <w:rFonts w:ascii="Sylfaen" w:hAnsi="Sylfaen" w:cs="Sylfaen"/>
          <w:bCs/>
          <w:sz w:val="24"/>
          <w:szCs w:val="24"/>
        </w:rPr>
        <w:t>დამტკიცების</w:t>
      </w:r>
      <w:proofErr w:type="spellEnd"/>
      <w:r w:rsidR="008E02AD" w:rsidRPr="009B15F8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="008E02AD" w:rsidRPr="009B15F8">
        <w:rPr>
          <w:rFonts w:ascii="Sylfaen" w:hAnsi="Sylfaen"/>
          <w:sz w:val="24"/>
          <w:szCs w:val="24"/>
          <w:lang w:val="ka-GE"/>
        </w:rPr>
        <w:t>შესახებ“ საქართველოს მთავრობის 2015 წლის 30 დეკემბრის N660 დადგენილები</w:t>
      </w:r>
      <w:r w:rsidR="002708DC" w:rsidRPr="009B15F8">
        <w:rPr>
          <w:rFonts w:ascii="Sylfaen" w:hAnsi="Sylfaen"/>
          <w:sz w:val="24"/>
          <w:szCs w:val="24"/>
          <w:lang w:val="ka-GE"/>
        </w:rPr>
        <w:t>თ</w:t>
      </w:r>
      <w:r w:rsidR="008E02AD" w:rsidRPr="009B15F8">
        <w:rPr>
          <w:rFonts w:ascii="Sylfaen" w:hAnsi="Sylfaen"/>
          <w:sz w:val="24"/>
          <w:szCs w:val="24"/>
          <w:lang w:val="ka-GE"/>
        </w:rPr>
        <w:t xml:space="preserve"> </w:t>
      </w:r>
      <w:r w:rsidR="00DD35CF" w:rsidRPr="009B15F8">
        <w:rPr>
          <w:rFonts w:ascii="Sylfaen" w:hAnsi="Sylfaen"/>
          <w:sz w:val="24"/>
          <w:szCs w:val="24"/>
          <w:lang w:val="ka-GE"/>
        </w:rPr>
        <w:t>(შემდგომში - დადგენ</w:t>
      </w:r>
      <w:r w:rsidR="00295DE0" w:rsidRPr="009B15F8">
        <w:rPr>
          <w:rFonts w:ascii="Sylfaen" w:hAnsi="Sylfaen"/>
          <w:sz w:val="24"/>
          <w:szCs w:val="24"/>
          <w:lang w:val="ka-GE"/>
        </w:rPr>
        <w:t>ი</w:t>
      </w:r>
      <w:r w:rsidR="00DD35CF" w:rsidRPr="009B15F8">
        <w:rPr>
          <w:rFonts w:ascii="Sylfaen" w:hAnsi="Sylfaen"/>
          <w:sz w:val="24"/>
          <w:szCs w:val="24"/>
          <w:lang w:val="ka-GE"/>
        </w:rPr>
        <w:t>ლება)</w:t>
      </w:r>
      <w:r w:rsidR="008E02AD" w:rsidRPr="009B15F8">
        <w:rPr>
          <w:rFonts w:ascii="Sylfaen" w:hAnsi="Sylfaen"/>
          <w:sz w:val="24"/>
          <w:szCs w:val="24"/>
          <w:lang w:val="ka-GE"/>
        </w:rPr>
        <w:t>, ასევე, სხვა მარეგულ</w:t>
      </w:r>
      <w:r w:rsidR="00E44E8F" w:rsidRPr="009B15F8">
        <w:rPr>
          <w:rFonts w:ascii="Sylfaen" w:hAnsi="Sylfaen"/>
          <w:sz w:val="24"/>
          <w:szCs w:val="24"/>
          <w:lang w:val="ka-GE"/>
        </w:rPr>
        <w:t>ი</w:t>
      </w:r>
      <w:r w:rsidR="008E02AD" w:rsidRPr="009B15F8">
        <w:rPr>
          <w:rFonts w:ascii="Sylfaen" w:hAnsi="Sylfaen"/>
          <w:sz w:val="24"/>
          <w:szCs w:val="24"/>
          <w:lang w:val="ka-GE"/>
        </w:rPr>
        <w:t>რებელ</w:t>
      </w:r>
      <w:r w:rsidR="00E44E8F" w:rsidRPr="009B15F8">
        <w:rPr>
          <w:rFonts w:ascii="Sylfaen" w:hAnsi="Sylfaen"/>
          <w:sz w:val="24"/>
          <w:szCs w:val="24"/>
          <w:lang w:val="ka-GE"/>
        </w:rPr>
        <w:t>ი</w:t>
      </w:r>
      <w:r w:rsidR="008E02AD" w:rsidRPr="009B15F8">
        <w:rPr>
          <w:rFonts w:ascii="Sylfaen" w:hAnsi="Sylfaen"/>
          <w:sz w:val="24"/>
          <w:szCs w:val="24"/>
          <w:lang w:val="ka-GE"/>
        </w:rPr>
        <w:t xml:space="preserve"> აქტებით</w:t>
      </w:r>
      <w:r w:rsidR="00DD35CF" w:rsidRPr="009B15F8">
        <w:rPr>
          <w:rFonts w:ascii="Sylfaen" w:hAnsi="Sylfaen"/>
          <w:sz w:val="24"/>
          <w:szCs w:val="24"/>
          <w:lang w:val="ka-GE"/>
        </w:rPr>
        <w:t xml:space="preserve"> </w:t>
      </w:r>
      <w:r w:rsidR="00E938BB" w:rsidRPr="009B15F8">
        <w:rPr>
          <w:rFonts w:ascii="Sylfaen" w:hAnsi="Sylfaen"/>
          <w:sz w:val="24"/>
          <w:szCs w:val="24"/>
          <w:lang w:val="ka-GE"/>
        </w:rPr>
        <w:t xml:space="preserve">განსაზღვრულ </w:t>
      </w:r>
      <w:r w:rsidR="006E4B31" w:rsidRPr="009B15F8">
        <w:rPr>
          <w:rFonts w:ascii="Sylfaen" w:hAnsi="Sylfaen"/>
          <w:sz w:val="24"/>
          <w:szCs w:val="24"/>
          <w:lang w:val="ka-GE"/>
        </w:rPr>
        <w:t>კრიტერიუმებთან</w:t>
      </w:r>
      <w:r w:rsidR="00E938BB" w:rsidRPr="009B15F8">
        <w:rPr>
          <w:rFonts w:ascii="Sylfaen" w:hAnsi="Sylfaen"/>
          <w:sz w:val="24"/>
          <w:szCs w:val="24"/>
          <w:lang w:val="ka-GE"/>
        </w:rPr>
        <w:t xml:space="preserve"> შესაბამისობის</w:t>
      </w:r>
      <w:r w:rsidR="008E02AD" w:rsidRPr="009B15F8">
        <w:rPr>
          <w:rFonts w:ascii="Sylfaen" w:hAnsi="Sylfaen"/>
          <w:sz w:val="24"/>
          <w:szCs w:val="24"/>
          <w:lang w:val="ka-GE"/>
        </w:rPr>
        <w:t xml:space="preserve"> შესწავლა</w:t>
      </w:r>
      <w:r w:rsidR="002708DC" w:rsidRPr="009B15F8">
        <w:rPr>
          <w:rFonts w:ascii="Sylfaen" w:hAnsi="Sylfaen"/>
          <w:sz w:val="24"/>
          <w:szCs w:val="24"/>
          <w:lang w:val="ka-GE"/>
        </w:rPr>
        <w:t>/</w:t>
      </w:r>
      <w:proofErr w:type="spellStart"/>
      <w:r w:rsidR="002708DC" w:rsidRPr="009B15F8">
        <w:rPr>
          <w:rFonts w:ascii="Sylfaen" w:hAnsi="Sylfaen" w:cs="Sylfaen"/>
          <w:sz w:val="24"/>
          <w:szCs w:val="24"/>
        </w:rPr>
        <w:t>შემოწმება</w:t>
      </w:r>
      <w:proofErr w:type="spellEnd"/>
      <w:r w:rsidR="002708DC" w:rsidRPr="009B15F8">
        <w:rPr>
          <w:sz w:val="24"/>
          <w:szCs w:val="24"/>
        </w:rPr>
        <w:t xml:space="preserve"> </w:t>
      </w:r>
      <w:proofErr w:type="spellStart"/>
      <w:r w:rsidR="002708DC" w:rsidRPr="009B15F8">
        <w:rPr>
          <w:rFonts w:ascii="Sylfaen" w:hAnsi="Sylfaen" w:cs="Sylfaen"/>
          <w:sz w:val="24"/>
          <w:szCs w:val="24"/>
        </w:rPr>
        <w:t>და</w:t>
      </w:r>
      <w:proofErr w:type="spellEnd"/>
      <w:r w:rsidR="002708DC" w:rsidRPr="009B15F8">
        <w:rPr>
          <w:sz w:val="24"/>
          <w:szCs w:val="24"/>
        </w:rPr>
        <w:t xml:space="preserve"> </w:t>
      </w:r>
      <w:proofErr w:type="spellStart"/>
      <w:r w:rsidR="002708DC" w:rsidRPr="009B15F8">
        <w:rPr>
          <w:rFonts w:ascii="Sylfaen" w:hAnsi="Sylfaen" w:cs="Sylfaen"/>
          <w:sz w:val="24"/>
          <w:szCs w:val="24"/>
        </w:rPr>
        <w:t>შეფასება</w:t>
      </w:r>
      <w:proofErr w:type="spellEnd"/>
      <w:r w:rsidR="00394397" w:rsidRPr="009B15F8">
        <w:rPr>
          <w:rFonts w:ascii="Sylfaen" w:hAnsi="Sylfaen" w:cs="Sylfaen"/>
          <w:sz w:val="24"/>
          <w:szCs w:val="24"/>
          <w:lang w:val="ka-GE"/>
        </w:rPr>
        <w:t xml:space="preserve"> და</w:t>
      </w:r>
      <w:r w:rsidR="00290035" w:rsidRPr="009B15F8">
        <w:rPr>
          <w:rFonts w:ascii="Sylfaen" w:hAnsi="Sylfaen"/>
          <w:sz w:val="24"/>
          <w:szCs w:val="24"/>
          <w:lang w:val="ka-GE"/>
        </w:rPr>
        <w:t xml:space="preserve"> </w:t>
      </w:r>
      <w:r w:rsidR="00E938BB" w:rsidRPr="009B15F8">
        <w:rPr>
          <w:rFonts w:ascii="Sylfaen" w:hAnsi="Sylfaen"/>
          <w:sz w:val="24"/>
          <w:szCs w:val="24"/>
          <w:lang w:val="ka-GE"/>
        </w:rPr>
        <w:t>შიდა კონტროლის მექანიზმების ადეკვატურობის დადგენა.</w:t>
      </w:r>
    </w:p>
    <w:p w:rsidR="006445B1" w:rsidRPr="009B15F8" w:rsidRDefault="006445B1" w:rsidP="006C3FC8">
      <w:pPr>
        <w:spacing w:before="240" w:after="0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9B15F8">
        <w:rPr>
          <w:rFonts w:ascii="Sylfaen" w:hAnsi="Sylfaen"/>
          <w:sz w:val="24"/>
          <w:szCs w:val="24"/>
          <w:lang w:val="ka-GE"/>
        </w:rPr>
        <w:t xml:space="preserve">შესაბამისად, </w:t>
      </w:r>
      <w:r w:rsidR="006E4B31" w:rsidRPr="009B15F8">
        <w:rPr>
          <w:rFonts w:ascii="Sylfaen" w:hAnsi="Sylfaen"/>
          <w:sz w:val="24"/>
          <w:szCs w:val="24"/>
          <w:lang w:val="ka-GE"/>
        </w:rPr>
        <w:t>აუდიტის მიზან</w:t>
      </w:r>
      <w:r w:rsidR="00DD35CF" w:rsidRPr="009B15F8">
        <w:rPr>
          <w:rFonts w:ascii="Sylfaen" w:hAnsi="Sylfaen"/>
          <w:sz w:val="24"/>
          <w:szCs w:val="24"/>
          <w:lang w:val="ka-GE"/>
        </w:rPr>
        <w:t>ს</w:t>
      </w:r>
      <w:r w:rsidR="009F2D35" w:rsidRPr="009B15F8">
        <w:rPr>
          <w:rFonts w:ascii="Sylfaen" w:hAnsi="Sylfaen"/>
          <w:sz w:val="24"/>
          <w:szCs w:val="24"/>
          <w:lang w:val="ka-GE"/>
        </w:rPr>
        <w:t xml:space="preserve"> წარმოადგენ</w:t>
      </w:r>
      <w:r w:rsidR="006E4B31" w:rsidRPr="009B15F8">
        <w:rPr>
          <w:rFonts w:ascii="Sylfaen" w:hAnsi="Sylfaen"/>
          <w:sz w:val="24"/>
          <w:szCs w:val="24"/>
          <w:lang w:val="ka-GE"/>
        </w:rPr>
        <w:t>და</w:t>
      </w:r>
      <w:r w:rsidRPr="009B15F8">
        <w:rPr>
          <w:rFonts w:ascii="Sylfaen" w:hAnsi="Sylfaen"/>
          <w:sz w:val="24"/>
          <w:szCs w:val="24"/>
          <w:lang w:val="ka-GE"/>
        </w:rPr>
        <w:t xml:space="preserve"> ერთი მთლიანი პროცესის აღწერა</w:t>
      </w:r>
      <w:r w:rsidR="006E4B31" w:rsidRPr="009B15F8">
        <w:rPr>
          <w:rFonts w:ascii="Sylfaen" w:hAnsi="Sylfaen"/>
          <w:sz w:val="24"/>
          <w:szCs w:val="24"/>
          <w:lang w:val="ka-GE"/>
        </w:rPr>
        <w:t>,</w:t>
      </w:r>
      <w:r w:rsidRPr="009B15F8">
        <w:rPr>
          <w:rFonts w:ascii="Sylfaen" w:hAnsi="Sylfaen"/>
          <w:sz w:val="24"/>
          <w:szCs w:val="24"/>
          <w:lang w:val="ka-GE"/>
        </w:rPr>
        <w:t xml:space="preserve"> </w:t>
      </w:r>
      <w:r w:rsidR="006E4B31" w:rsidRPr="009B15F8">
        <w:rPr>
          <w:rFonts w:ascii="Sylfaen" w:hAnsi="Sylfaen"/>
          <w:sz w:val="24"/>
          <w:szCs w:val="24"/>
          <w:lang w:val="ka-GE"/>
        </w:rPr>
        <w:t>მისი</w:t>
      </w:r>
      <w:r w:rsidRPr="009B15F8">
        <w:rPr>
          <w:rFonts w:ascii="Sylfaen" w:hAnsi="Sylfaen"/>
          <w:sz w:val="24"/>
          <w:szCs w:val="24"/>
          <w:lang w:val="ka-GE"/>
        </w:rPr>
        <w:t xml:space="preserve"> პოზიტიურ</w:t>
      </w:r>
      <w:r w:rsidR="006E4B31" w:rsidRPr="009B15F8">
        <w:rPr>
          <w:rFonts w:ascii="Sylfaen" w:hAnsi="Sylfaen"/>
          <w:sz w:val="24"/>
          <w:szCs w:val="24"/>
          <w:lang w:val="ka-GE"/>
        </w:rPr>
        <w:t>ი</w:t>
      </w:r>
      <w:r w:rsidRPr="009B15F8">
        <w:rPr>
          <w:rFonts w:ascii="Sylfaen" w:hAnsi="Sylfaen"/>
          <w:sz w:val="24"/>
          <w:szCs w:val="24"/>
          <w:lang w:val="ka-GE"/>
        </w:rPr>
        <w:t xml:space="preserve"> და ნეგატიურ</w:t>
      </w:r>
      <w:r w:rsidR="006E4B31" w:rsidRPr="009B15F8">
        <w:rPr>
          <w:rFonts w:ascii="Sylfaen" w:hAnsi="Sylfaen"/>
          <w:sz w:val="24"/>
          <w:szCs w:val="24"/>
          <w:lang w:val="ka-GE"/>
        </w:rPr>
        <w:t>ი</w:t>
      </w:r>
      <w:r w:rsidRPr="009B15F8">
        <w:rPr>
          <w:rFonts w:ascii="Sylfaen" w:hAnsi="Sylfaen"/>
          <w:sz w:val="24"/>
          <w:szCs w:val="24"/>
          <w:lang w:val="ka-GE"/>
        </w:rPr>
        <w:t xml:space="preserve"> მოვლენების მიგნებებზე ორიენტირება და საუკეთესო პრაქტიკის დამკვიდრებისათვის მსჯელობის განხორციელება.</w:t>
      </w:r>
    </w:p>
    <w:p w:rsidR="006E0C53" w:rsidRDefault="006E0C53" w:rsidP="006C3FC8">
      <w:pPr>
        <w:spacing w:before="240" w:after="0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9D5F93" w:rsidRPr="00394397" w:rsidRDefault="009D5F93" w:rsidP="00172974">
      <w:pPr>
        <w:pStyle w:val="Heading1"/>
        <w:numPr>
          <w:ilvl w:val="0"/>
          <w:numId w:val="1"/>
        </w:numPr>
        <w:spacing w:before="240"/>
        <w:ind w:left="0" w:firstLine="720"/>
        <w:rPr>
          <w:color w:val="17365D" w:themeColor="text2" w:themeShade="BF"/>
          <w:lang w:val="ka-GE"/>
        </w:rPr>
      </w:pPr>
      <w:bookmarkStart w:id="10" w:name="_Toc473037941"/>
      <w:bookmarkStart w:id="11" w:name="_Toc473038336"/>
      <w:r w:rsidRPr="00394397">
        <w:rPr>
          <w:rFonts w:ascii="Sylfaen" w:hAnsi="Sylfaen" w:cs="Sylfaen"/>
          <w:color w:val="17365D" w:themeColor="text2" w:themeShade="BF"/>
          <w:lang w:val="ka-GE"/>
        </w:rPr>
        <w:lastRenderedPageBreak/>
        <w:t>აუდიტის</w:t>
      </w:r>
      <w:r w:rsidRPr="00394397">
        <w:rPr>
          <w:color w:val="17365D" w:themeColor="text2" w:themeShade="BF"/>
          <w:lang w:val="ka-GE"/>
        </w:rPr>
        <w:t xml:space="preserve"> </w:t>
      </w:r>
      <w:r w:rsidRPr="00394397">
        <w:rPr>
          <w:rFonts w:ascii="Sylfaen" w:hAnsi="Sylfaen" w:cs="Sylfaen"/>
          <w:color w:val="17365D" w:themeColor="text2" w:themeShade="BF"/>
          <w:lang w:val="ka-GE"/>
        </w:rPr>
        <w:t>მოცულობა</w:t>
      </w:r>
      <w:bookmarkEnd w:id="10"/>
      <w:bookmarkEnd w:id="11"/>
    </w:p>
    <w:p w:rsidR="009D5F93" w:rsidRPr="00E938BB" w:rsidRDefault="009D5F93" w:rsidP="006C3FC8">
      <w:pPr>
        <w:spacing w:before="240" w:after="0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E938BB">
        <w:rPr>
          <w:rFonts w:ascii="Sylfaen" w:hAnsi="Sylfaen"/>
          <w:sz w:val="24"/>
          <w:szCs w:val="24"/>
          <w:lang w:val="ka-GE"/>
        </w:rPr>
        <w:t>აუდიტმა მოიცვა 201</w:t>
      </w:r>
      <w:r w:rsidR="00ED7887">
        <w:rPr>
          <w:rFonts w:ascii="Sylfaen" w:hAnsi="Sylfaen"/>
          <w:sz w:val="24"/>
          <w:szCs w:val="24"/>
          <w:lang w:val="ka-GE"/>
        </w:rPr>
        <w:t>6</w:t>
      </w:r>
      <w:r w:rsidRPr="00E938BB">
        <w:rPr>
          <w:rFonts w:ascii="Sylfaen" w:hAnsi="Sylfaen"/>
          <w:sz w:val="24"/>
          <w:szCs w:val="24"/>
          <w:lang w:val="ka-GE"/>
        </w:rPr>
        <w:t xml:space="preserve"> წლის 1 იანვრიდან 2016 წლის 1 </w:t>
      </w:r>
      <w:r w:rsidR="00ED7887">
        <w:rPr>
          <w:rFonts w:ascii="Sylfaen" w:hAnsi="Sylfaen"/>
          <w:sz w:val="24"/>
          <w:szCs w:val="24"/>
          <w:lang w:val="ka-GE"/>
        </w:rPr>
        <w:t>ოქტომბრამდე</w:t>
      </w:r>
      <w:r w:rsidRPr="00E938BB">
        <w:rPr>
          <w:rFonts w:ascii="Sylfaen" w:hAnsi="Sylfaen"/>
          <w:sz w:val="24"/>
          <w:szCs w:val="24"/>
          <w:lang w:val="ka-GE"/>
        </w:rPr>
        <w:t xml:space="preserve"> პერიოდი. </w:t>
      </w:r>
      <w:r w:rsidR="002F4EC1" w:rsidRPr="002C05B3">
        <w:rPr>
          <w:rFonts w:ascii="Sylfaen" w:eastAsiaTheme="minorHAnsi" w:hAnsi="Sylfaen" w:cstheme="minorBidi"/>
          <w:sz w:val="24"/>
          <w:szCs w:val="24"/>
          <w:lang w:val="ka-GE"/>
        </w:rPr>
        <w:t>შიდა აუდიტის დეპარტამენტის მიერ განხორციელდა პროგრამი</w:t>
      </w:r>
      <w:r w:rsidR="002F4EC1">
        <w:rPr>
          <w:rFonts w:ascii="Sylfaen" w:eastAsiaTheme="minorHAnsi" w:hAnsi="Sylfaen" w:cstheme="minorBidi"/>
          <w:sz w:val="24"/>
          <w:szCs w:val="24"/>
          <w:lang w:val="ka-GE"/>
        </w:rPr>
        <w:t>თ გათვალისწინებული მომსახურებით</w:t>
      </w:r>
      <w:r w:rsidR="002F4EC1" w:rsidRPr="002C05B3">
        <w:rPr>
          <w:rFonts w:ascii="Sylfaen" w:eastAsiaTheme="minorHAnsi" w:hAnsi="Sylfaen" w:cstheme="minorBidi"/>
          <w:sz w:val="24"/>
          <w:szCs w:val="24"/>
          <w:lang w:val="ka-GE"/>
        </w:rPr>
        <w:t xml:space="preserve"> </w:t>
      </w:r>
      <w:r w:rsidR="002F4EC1" w:rsidRPr="00D41DBF">
        <w:rPr>
          <w:rFonts w:ascii="Sylfaen" w:eastAsia="Sylfaen" w:hAnsi="Sylfaen" w:cstheme="minorBidi"/>
          <w:sz w:val="24"/>
          <w:szCs w:val="24"/>
          <w:lang w:val="ka-GE"/>
        </w:rPr>
        <w:t xml:space="preserve">ბენეფიციართა უზრუნველყოფასთან დაკავშირებული </w:t>
      </w:r>
      <w:r w:rsidR="002F4EC1">
        <w:rPr>
          <w:rFonts w:ascii="Sylfaen" w:eastAsia="Sylfaen" w:hAnsi="Sylfaen" w:cstheme="minorBidi"/>
          <w:sz w:val="24"/>
          <w:szCs w:val="24"/>
          <w:lang w:val="ka-GE"/>
        </w:rPr>
        <w:t>საკითხების</w:t>
      </w:r>
      <w:r w:rsidR="002F4EC1" w:rsidRPr="00D41DBF">
        <w:rPr>
          <w:rFonts w:ascii="Sylfaen" w:eastAsia="Sylfaen" w:hAnsi="Sylfaen" w:cstheme="minorBidi"/>
          <w:sz w:val="24"/>
          <w:szCs w:val="24"/>
          <w:lang w:val="ka-GE"/>
        </w:rPr>
        <w:t xml:space="preserve"> შესწავლა/ანალიზი.</w:t>
      </w:r>
      <w:r w:rsidR="002F4EC1" w:rsidRPr="002C05B3">
        <w:rPr>
          <w:rFonts w:ascii="Sylfaen" w:eastAsia="Sylfaen" w:hAnsi="Sylfaen" w:cstheme="minorBidi"/>
          <w:sz w:val="24"/>
          <w:szCs w:val="24"/>
          <w:lang w:val="ka-GE"/>
        </w:rPr>
        <w:t xml:space="preserve"> </w:t>
      </w:r>
      <w:r w:rsidR="002F4EC1">
        <w:rPr>
          <w:rFonts w:ascii="Sylfaen" w:hAnsi="Sylfaen"/>
          <w:sz w:val="24"/>
          <w:szCs w:val="24"/>
          <w:lang w:val="ka-GE"/>
        </w:rPr>
        <w:t xml:space="preserve">პროგრამასთან დაკავშირებული ინფორმაცია </w:t>
      </w:r>
      <w:r w:rsidR="00D11F49">
        <w:rPr>
          <w:rFonts w:ascii="Sylfaen" w:hAnsi="Sylfaen"/>
          <w:sz w:val="24"/>
          <w:szCs w:val="24"/>
          <w:lang w:val="ka-GE"/>
        </w:rPr>
        <w:t xml:space="preserve">ელექტრონული ფოსტის მეშვეობით </w:t>
      </w:r>
      <w:r w:rsidRPr="00E938BB">
        <w:rPr>
          <w:rFonts w:ascii="Sylfaen" w:hAnsi="Sylfaen"/>
          <w:sz w:val="24"/>
          <w:szCs w:val="24"/>
          <w:lang w:val="ka-GE"/>
        </w:rPr>
        <w:t>წარმოდგენილი</w:t>
      </w:r>
      <w:r w:rsidR="00D11F49">
        <w:rPr>
          <w:rFonts w:ascii="Sylfaen" w:hAnsi="Sylfaen"/>
          <w:sz w:val="24"/>
          <w:szCs w:val="24"/>
          <w:lang w:val="ka-GE"/>
        </w:rPr>
        <w:t xml:space="preserve"> იყო </w:t>
      </w:r>
      <w:r w:rsidR="006E4B31" w:rsidRPr="006E4B31">
        <w:rPr>
          <w:rFonts w:ascii="Sylfaen" w:hAnsi="Sylfaen"/>
          <w:sz w:val="24"/>
          <w:szCs w:val="24"/>
          <w:lang w:val="ka-GE"/>
        </w:rPr>
        <w:t>Ex</w:t>
      </w:r>
      <w:r w:rsidR="00DD35CF">
        <w:rPr>
          <w:rFonts w:ascii="Sylfaen" w:hAnsi="Sylfaen"/>
          <w:sz w:val="24"/>
          <w:szCs w:val="24"/>
        </w:rPr>
        <w:t>c</w:t>
      </w:r>
      <w:r w:rsidR="006E4B31" w:rsidRPr="006E4B31">
        <w:rPr>
          <w:rFonts w:ascii="Sylfaen" w:hAnsi="Sylfaen"/>
          <w:sz w:val="24"/>
          <w:szCs w:val="24"/>
          <w:lang w:val="ka-GE"/>
        </w:rPr>
        <w:t>sel</w:t>
      </w:r>
      <w:r w:rsidR="006E4B31">
        <w:rPr>
          <w:rFonts w:ascii="Sylfaen" w:hAnsi="Sylfaen"/>
          <w:sz w:val="24"/>
          <w:szCs w:val="24"/>
          <w:lang w:val="ka-GE"/>
        </w:rPr>
        <w:t xml:space="preserve"> ფაილები</w:t>
      </w:r>
      <w:r w:rsidR="00394397">
        <w:rPr>
          <w:rFonts w:ascii="Sylfaen" w:hAnsi="Sylfaen"/>
          <w:sz w:val="24"/>
          <w:szCs w:val="24"/>
          <w:lang w:val="ka-GE"/>
        </w:rPr>
        <w:t>თ</w:t>
      </w:r>
      <w:r w:rsidR="006E4B31">
        <w:rPr>
          <w:rFonts w:ascii="Sylfaen" w:hAnsi="Sylfaen"/>
          <w:sz w:val="24"/>
          <w:szCs w:val="24"/>
          <w:lang w:val="ka-GE"/>
        </w:rPr>
        <w:t xml:space="preserve"> </w:t>
      </w:r>
      <w:r w:rsidR="002F4EC1">
        <w:rPr>
          <w:rFonts w:ascii="Sylfaen" w:hAnsi="Sylfaen"/>
          <w:sz w:val="24"/>
          <w:szCs w:val="24"/>
          <w:lang w:val="ka-GE"/>
        </w:rPr>
        <w:t>სსიპ</w:t>
      </w:r>
      <w:r w:rsidR="00394397">
        <w:rPr>
          <w:rFonts w:ascii="Sylfaen" w:hAnsi="Sylfaen"/>
          <w:sz w:val="24"/>
          <w:szCs w:val="24"/>
          <w:lang w:val="ka-GE"/>
        </w:rPr>
        <w:t>-</w:t>
      </w:r>
      <w:r w:rsidR="002F4EC1">
        <w:rPr>
          <w:rFonts w:ascii="Sylfaen" w:hAnsi="Sylfaen"/>
          <w:sz w:val="24"/>
          <w:szCs w:val="24"/>
          <w:lang w:val="ka-GE"/>
        </w:rPr>
        <w:t>სოციალური მომსახურების სააგენტოს (შემდგომში - სააგენტო) ჯანმრთელობის დაცვის დეპარტამენტიდან (შემდგომში - დეპარტამენტი)</w:t>
      </w:r>
      <w:r w:rsidR="00F32335">
        <w:rPr>
          <w:rFonts w:ascii="Sylfaen" w:hAnsi="Sylfaen"/>
          <w:sz w:val="24"/>
          <w:szCs w:val="24"/>
          <w:lang w:val="ka-GE"/>
        </w:rPr>
        <w:t>.</w:t>
      </w:r>
      <w:r w:rsidR="002F4EC1">
        <w:rPr>
          <w:rFonts w:ascii="Sylfaen" w:hAnsi="Sylfaen"/>
          <w:sz w:val="24"/>
          <w:szCs w:val="24"/>
          <w:lang w:val="ka-GE"/>
        </w:rPr>
        <w:t xml:space="preserve"> </w:t>
      </w:r>
    </w:p>
    <w:p w:rsidR="00646BA5" w:rsidRPr="006E5C41" w:rsidRDefault="00646BA5" w:rsidP="006C3F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/>
        <w:ind w:firstLine="567"/>
        <w:jc w:val="both"/>
        <w:rPr>
          <w:rFonts w:ascii="Sylfaen" w:eastAsia="Sylfaen" w:hAnsi="Sylfaen" w:cstheme="minorBidi"/>
          <w:sz w:val="24"/>
          <w:szCs w:val="24"/>
          <w:lang w:val="ka-GE"/>
        </w:rPr>
      </w:pPr>
      <w:r w:rsidRPr="002C05B3">
        <w:rPr>
          <w:rFonts w:ascii="Sylfaen" w:eastAsia="Sylfaen" w:hAnsi="Sylfaen" w:cstheme="minorBidi"/>
          <w:sz w:val="24"/>
          <w:szCs w:val="24"/>
          <w:lang w:val="ka-GE"/>
        </w:rPr>
        <w:t xml:space="preserve">განხილული იქნა პროცესის </w:t>
      </w:r>
      <w:r>
        <w:rPr>
          <w:rFonts w:ascii="Sylfaen" w:eastAsia="Sylfaen" w:hAnsi="Sylfaen" w:cstheme="minorBidi"/>
          <w:sz w:val="24"/>
          <w:szCs w:val="24"/>
          <w:lang w:val="ka-GE"/>
        </w:rPr>
        <w:t xml:space="preserve">ფაქტობრივი </w:t>
      </w:r>
      <w:r w:rsidRPr="002C05B3">
        <w:rPr>
          <w:rFonts w:ascii="Sylfaen" w:eastAsia="Sylfaen" w:hAnsi="Sylfaen" w:cstheme="minorBidi"/>
          <w:sz w:val="24"/>
          <w:szCs w:val="24"/>
          <w:lang w:val="ka-GE"/>
        </w:rPr>
        <w:t xml:space="preserve">მიმდინარეობა </w:t>
      </w:r>
      <w:r>
        <w:rPr>
          <w:rFonts w:ascii="Sylfaen" w:eastAsia="Sylfaen" w:hAnsi="Sylfaen" w:cstheme="minorBidi"/>
          <w:sz w:val="24"/>
          <w:szCs w:val="24"/>
          <w:lang w:val="ka-GE"/>
        </w:rPr>
        <w:t xml:space="preserve">(არსებული პრაქტიკა) </w:t>
      </w:r>
      <w:r w:rsidRPr="002C05B3">
        <w:rPr>
          <w:rFonts w:ascii="Sylfaen" w:eastAsia="Sylfaen" w:hAnsi="Sylfaen" w:cstheme="minorBidi"/>
          <w:sz w:val="24"/>
          <w:szCs w:val="24"/>
          <w:lang w:val="ka-GE"/>
        </w:rPr>
        <w:t>და მისი შესაბამისობა მარეგულირებელი ნორმების მოთხოვნებთან, შიდა კონტროლის</w:t>
      </w:r>
      <w:r>
        <w:rPr>
          <w:rFonts w:ascii="Sylfaen" w:eastAsia="Sylfaen" w:hAnsi="Sylfaen" w:cstheme="minorBidi"/>
          <w:sz w:val="24"/>
          <w:szCs w:val="24"/>
          <w:lang w:val="ka-GE"/>
        </w:rPr>
        <w:t xml:space="preserve"> დანერგილი</w:t>
      </w:r>
      <w:r w:rsidRPr="002C05B3">
        <w:rPr>
          <w:rFonts w:ascii="Sylfaen" w:eastAsia="Sylfaen" w:hAnsi="Sylfaen" w:cstheme="minorBidi"/>
          <w:sz w:val="24"/>
          <w:szCs w:val="24"/>
          <w:lang w:val="ka-GE"/>
        </w:rPr>
        <w:t xml:space="preserve"> სისტემები და ის რისკ-ფაქტორები, რომლებიც სათანადოდ </w:t>
      </w:r>
      <w:r w:rsidRPr="006E5C41">
        <w:rPr>
          <w:rFonts w:ascii="Sylfaen" w:eastAsia="Sylfaen" w:hAnsi="Sylfaen" w:cstheme="minorBidi"/>
          <w:sz w:val="24"/>
          <w:szCs w:val="24"/>
          <w:lang w:val="ka-GE"/>
        </w:rPr>
        <w:t xml:space="preserve">არ არის მოცული შიდა </w:t>
      </w:r>
      <w:r w:rsidR="006E5C41" w:rsidRPr="006E5C41">
        <w:rPr>
          <w:rFonts w:ascii="Sylfaen" w:eastAsia="Sylfaen" w:hAnsi="Sylfaen" w:cstheme="minorBidi"/>
          <w:sz w:val="24"/>
          <w:szCs w:val="24"/>
          <w:lang w:val="ka-GE"/>
        </w:rPr>
        <w:t>ზედამხედველობის</w:t>
      </w:r>
      <w:r w:rsidRPr="006E5C41">
        <w:rPr>
          <w:rFonts w:ascii="Sylfaen" w:eastAsia="Sylfaen" w:hAnsi="Sylfaen" w:cstheme="minorBidi"/>
          <w:sz w:val="24"/>
          <w:szCs w:val="24"/>
          <w:lang w:val="ka-GE"/>
        </w:rPr>
        <w:t xml:space="preserve"> მექანიზმებით.</w:t>
      </w:r>
    </w:p>
    <w:p w:rsidR="003D280D" w:rsidRDefault="003D280D" w:rsidP="003D280D">
      <w:pPr>
        <w:spacing w:before="240" w:after="0"/>
        <w:ind w:firstLine="630"/>
        <w:jc w:val="both"/>
        <w:rPr>
          <w:rFonts w:ascii="Sylfaen" w:eastAsiaTheme="minorHAnsi" w:hAnsi="Sylfaen" w:cstheme="minorBidi"/>
          <w:sz w:val="24"/>
          <w:szCs w:val="24"/>
          <w:lang w:val="ka-GE"/>
        </w:rPr>
      </w:pPr>
    </w:p>
    <w:p w:rsidR="00172974" w:rsidRDefault="00172974" w:rsidP="003D280D">
      <w:pPr>
        <w:spacing w:before="240" w:after="0"/>
        <w:ind w:firstLine="630"/>
        <w:jc w:val="both"/>
        <w:rPr>
          <w:rFonts w:ascii="Sylfaen" w:eastAsiaTheme="minorHAnsi" w:hAnsi="Sylfaen" w:cstheme="minorBidi"/>
          <w:sz w:val="24"/>
          <w:szCs w:val="24"/>
          <w:lang w:val="ka-GE"/>
        </w:rPr>
      </w:pPr>
    </w:p>
    <w:p w:rsidR="00172974" w:rsidRDefault="00667335" w:rsidP="00DB3F7D">
      <w:pPr>
        <w:pStyle w:val="Heading1"/>
        <w:numPr>
          <w:ilvl w:val="0"/>
          <w:numId w:val="1"/>
        </w:numPr>
        <w:spacing w:before="0"/>
        <w:rPr>
          <w:rFonts w:ascii="Sylfaen" w:hAnsi="Sylfaen"/>
          <w:color w:val="17365D" w:themeColor="text2" w:themeShade="BF"/>
          <w:lang w:val="ka-GE"/>
        </w:rPr>
      </w:pPr>
      <w:bookmarkStart w:id="12" w:name="_Toc473037942"/>
      <w:bookmarkStart w:id="13" w:name="_Toc473038337"/>
      <w:bookmarkStart w:id="14" w:name="_Toc419921736"/>
      <w:r>
        <w:rPr>
          <w:rFonts w:ascii="Sylfaen" w:hAnsi="Sylfaen" w:cs="Sylfaen"/>
          <w:color w:val="17365D" w:themeColor="text2" w:themeShade="BF"/>
          <w:lang w:val="ka-GE"/>
        </w:rPr>
        <w:t>ძირითადი ინფორმაცია</w:t>
      </w:r>
      <w:bookmarkEnd w:id="12"/>
      <w:bookmarkEnd w:id="13"/>
      <w:r w:rsidR="00172974" w:rsidRPr="00172974">
        <w:rPr>
          <w:color w:val="17365D" w:themeColor="text2" w:themeShade="BF"/>
          <w:lang w:val="ka-GE"/>
        </w:rPr>
        <w:t xml:space="preserve"> </w:t>
      </w:r>
      <w:bookmarkEnd w:id="14"/>
    </w:p>
    <w:p w:rsidR="00D11F49" w:rsidRPr="0025198D" w:rsidRDefault="00D11F49" w:rsidP="003D280D">
      <w:pPr>
        <w:spacing w:before="240" w:after="0"/>
        <w:ind w:firstLine="630"/>
        <w:jc w:val="both"/>
        <w:rPr>
          <w:rFonts w:eastAsiaTheme="minorHAnsi" w:cstheme="minorBidi"/>
          <w:sz w:val="24"/>
          <w:szCs w:val="24"/>
          <w:lang w:val="ka-GE"/>
        </w:rPr>
      </w:pPr>
      <w:r w:rsidRPr="0025198D">
        <w:rPr>
          <w:rFonts w:ascii="Sylfaen" w:eastAsiaTheme="minorHAnsi" w:hAnsi="Sylfaen" w:cstheme="minorBidi"/>
          <w:sz w:val="24"/>
          <w:szCs w:val="24"/>
          <w:lang w:val="ka-GE"/>
        </w:rPr>
        <w:t>პროგრამის</w:t>
      </w:r>
      <w:r w:rsidR="006E4B31">
        <w:rPr>
          <w:rFonts w:eastAsiaTheme="minorHAnsi" w:cstheme="minorBidi"/>
          <w:sz w:val="24"/>
          <w:szCs w:val="24"/>
          <w:lang w:val="ka-GE"/>
        </w:rPr>
        <w:t xml:space="preserve"> </w:t>
      </w:r>
      <w:r w:rsidRPr="0032558F">
        <w:rPr>
          <w:rFonts w:ascii="Sylfaen" w:eastAsiaTheme="minorHAnsi" w:hAnsi="Sylfaen" w:cstheme="minorBidi"/>
          <w:b/>
          <w:sz w:val="24"/>
          <w:szCs w:val="24"/>
          <w:lang w:val="ka-GE"/>
        </w:rPr>
        <w:t>მიზანია</w:t>
      </w:r>
      <w:r w:rsidRPr="0032558F">
        <w:rPr>
          <w:rFonts w:eastAsiaTheme="minorHAnsi" w:cstheme="minorBidi"/>
          <w:b/>
          <w:sz w:val="24"/>
          <w:szCs w:val="24"/>
          <w:lang w:val="ka-GE"/>
        </w:rPr>
        <w:t>:</w:t>
      </w:r>
    </w:p>
    <w:p w:rsidR="00ED7887" w:rsidRDefault="00ED7887" w:rsidP="003D2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/>
        <w:ind w:firstLine="630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,,</w:t>
      </w:r>
      <w:proofErr w:type="spellStart"/>
      <w:r>
        <w:rPr>
          <w:rFonts w:ascii="Sylfaen" w:hAnsi="Sylfaen" w:cs="Sylfaen"/>
          <w:sz w:val="24"/>
          <w:szCs w:val="24"/>
        </w:rPr>
        <w:t>ინკურაბელური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პაციენტების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ცხოვრების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ხარისხის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გაუმჯობესება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პალიატიურ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სამედიცინო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მომსახურებაზე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ფინანსური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ხელმისაწვდომობის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გაზრდის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გზით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და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სპეციფიკური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მედიკამენტებით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უზრუნველყოფა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“</w:t>
      </w:r>
      <w:r>
        <w:rPr>
          <w:rStyle w:val="FootnoteReference"/>
          <w:rFonts w:ascii="Sylfaen" w:hAnsi="Sylfaen" w:cs="Sylfaen"/>
          <w:sz w:val="24"/>
          <w:szCs w:val="24"/>
          <w:lang w:val="ka-GE"/>
        </w:rPr>
        <w:footnoteReference w:id="1"/>
      </w:r>
      <w:r>
        <w:rPr>
          <w:rFonts w:ascii="Sylfaen" w:hAnsi="Sylfaen" w:cs="Sylfaen"/>
          <w:sz w:val="24"/>
          <w:szCs w:val="24"/>
        </w:rPr>
        <w:t>.</w:t>
      </w:r>
    </w:p>
    <w:p w:rsidR="00D11F49" w:rsidRPr="0025198D" w:rsidRDefault="00DF632C" w:rsidP="003D2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/>
        <w:ind w:firstLine="630"/>
        <w:jc w:val="both"/>
        <w:rPr>
          <w:rFonts w:eastAsiaTheme="minorHAnsi" w:cstheme="minorBidi"/>
          <w:sz w:val="24"/>
          <w:szCs w:val="24"/>
          <w:lang w:val="ka-GE"/>
        </w:rPr>
      </w:pPr>
      <w:r>
        <w:rPr>
          <w:rFonts w:ascii="Sylfaen" w:eastAsiaTheme="minorHAnsi" w:hAnsi="Sylfaen" w:cstheme="minorBidi"/>
          <w:sz w:val="24"/>
          <w:szCs w:val="24"/>
          <w:lang w:val="ka-GE"/>
        </w:rPr>
        <w:t>ამ</w:t>
      </w:r>
      <w:r w:rsidR="00D11F49" w:rsidRPr="0025198D">
        <w:rPr>
          <w:rFonts w:eastAsiaTheme="minorHAnsi" w:cstheme="minorBidi"/>
          <w:sz w:val="24"/>
          <w:szCs w:val="24"/>
          <w:lang w:val="ka-GE"/>
        </w:rPr>
        <w:t xml:space="preserve"> </w:t>
      </w:r>
      <w:r w:rsidR="00D11F49" w:rsidRPr="0025198D">
        <w:rPr>
          <w:rFonts w:ascii="Sylfaen" w:eastAsiaTheme="minorHAnsi" w:hAnsi="Sylfaen" w:cstheme="minorBidi"/>
          <w:sz w:val="24"/>
          <w:szCs w:val="24"/>
          <w:lang w:val="ka-GE"/>
        </w:rPr>
        <w:t>მიზნით</w:t>
      </w:r>
      <w:r w:rsidR="00D11F49" w:rsidRPr="0025198D">
        <w:rPr>
          <w:rFonts w:eastAsiaTheme="minorHAnsi" w:cstheme="minorBidi"/>
          <w:sz w:val="24"/>
          <w:szCs w:val="24"/>
          <w:lang w:val="ka-GE"/>
        </w:rPr>
        <w:t xml:space="preserve">, </w:t>
      </w:r>
      <w:r w:rsidR="00D56243">
        <w:rPr>
          <w:rFonts w:ascii="Sylfaen" w:eastAsiaTheme="minorHAnsi" w:hAnsi="Sylfaen" w:cstheme="minorBidi"/>
          <w:sz w:val="24"/>
          <w:szCs w:val="24"/>
          <w:lang w:val="ka-GE"/>
        </w:rPr>
        <w:t>პროგრამის</w:t>
      </w:r>
      <w:r w:rsidR="00D11F49" w:rsidRPr="0025198D">
        <w:rPr>
          <w:rFonts w:eastAsiaTheme="minorHAnsi" w:cstheme="minorBidi"/>
          <w:sz w:val="24"/>
          <w:szCs w:val="24"/>
          <w:lang w:val="ka-GE"/>
        </w:rPr>
        <w:t xml:space="preserve"> </w:t>
      </w:r>
      <w:r w:rsidR="00D11F49" w:rsidRPr="0025198D">
        <w:rPr>
          <w:rFonts w:ascii="Sylfaen" w:eastAsiaTheme="minorHAnsi" w:hAnsi="Sylfaen" w:cstheme="minorBidi"/>
          <w:sz w:val="24"/>
          <w:szCs w:val="24"/>
          <w:lang w:val="ka-GE"/>
        </w:rPr>
        <w:t>მოსარგებლეებისათვის</w:t>
      </w:r>
      <w:r w:rsidR="00860B54">
        <w:rPr>
          <w:rStyle w:val="FootnoteReference"/>
          <w:rFonts w:ascii="Sylfaen" w:eastAsiaTheme="minorHAnsi" w:hAnsi="Sylfaen" w:cstheme="minorBidi"/>
          <w:sz w:val="24"/>
          <w:szCs w:val="24"/>
          <w:lang w:val="ka-GE"/>
        </w:rPr>
        <w:footnoteReference w:id="2"/>
      </w:r>
      <w:r w:rsidR="00D11F49" w:rsidRPr="0025198D">
        <w:rPr>
          <w:rFonts w:eastAsiaTheme="minorHAnsi" w:cstheme="minorBidi"/>
          <w:sz w:val="24"/>
          <w:szCs w:val="24"/>
          <w:lang w:val="ka-GE"/>
        </w:rPr>
        <w:t xml:space="preserve">  </w:t>
      </w:r>
      <w:r w:rsidR="00D11F49" w:rsidRPr="0025198D">
        <w:rPr>
          <w:rFonts w:ascii="Sylfaen" w:eastAsiaTheme="minorHAnsi" w:hAnsi="Sylfaen" w:cstheme="minorBidi"/>
          <w:sz w:val="24"/>
          <w:szCs w:val="24"/>
          <w:lang w:val="ka-GE"/>
        </w:rPr>
        <w:t>ანაზღაურებას</w:t>
      </w:r>
      <w:r w:rsidR="00D11F49" w:rsidRPr="0025198D">
        <w:rPr>
          <w:rFonts w:eastAsiaTheme="minorHAnsi" w:cstheme="minorBidi"/>
          <w:sz w:val="24"/>
          <w:szCs w:val="24"/>
          <w:lang w:val="ka-GE"/>
        </w:rPr>
        <w:t xml:space="preserve"> </w:t>
      </w:r>
      <w:r w:rsidR="00D11F49" w:rsidRPr="0025198D">
        <w:rPr>
          <w:rFonts w:ascii="Sylfaen" w:eastAsiaTheme="minorHAnsi" w:hAnsi="Sylfaen" w:cstheme="minorBidi"/>
          <w:sz w:val="24"/>
          <w:szCs w:val="24"/>
          <w:lang w:val="ka-GE"/>
        </w:rPr>
        <w:t>ექვემდებარება</w:t>
      </w:r>
      <w:r w:rsidR="00D11F49" w:rsidRPr="0025198D">
        <w:rPr>
          <w:rFonts w:eastAsiaTheme="minorHAnsi" w:cstheme="minorBidi"/>
          <w:sz w:val="24"/>
          <w:szCs w:val="24"/>
          <w:lang w:val="ka-GE"/>
        </w:rPr>
        <w:t xml:space="preserve"> </w:t>
      </w:r>
      <w:proofErr w:type="spellStart"/>
      <w:r w:rsidR="00D247AF">
        <w:rPr>
          <w:rFonts w:ascii="Sylfaen" w:hAnsi="Sylfaen" w:cs="Sylfaen"/>
          <w:sz w:val="24"/>
          <w:szCs w:val="24"/>
        </w:rPr>
        <w:t>ინკურაბელურ</w:t>
      </w:r>
      <w:proofErr w:type="spellEnd"/>
      <w:r w:rsidR="00D247A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D247AF">
        <w:rPr>
          <w:rFonts w:ascii="Sylfaen" w:hAnsi="Sylfaen" w:cs="Sylfaen"/>
          <w:sz w:val="24"/>
          <w:szCs w:val="24"/>
        </w:rPr>
        <w:t>პაციენტთა</w:t>
      </w:r>
      <w:proofErr w:type="spellEnd"/>
      <w:r w:rsidR="00D247A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D247AF">
        <w:rPr>
          <w:rFonts w:ascii="Sylfaen" w:hAnsi="Sylfaen" w:cs="Sylfaen"/>
          <w:sz w:val="24"/>
          <w:szCs w:val="24"/>
        </w:rPr>
        <w:t>ამბულატორიული</w:t>
      </w:r>
      <w:proofErr w:type="spellEnd"/>
      <w:r w:rsidR="00D247A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D247AF">
        <w:rPr>
          <w:rFonts w:ascii="Sylfaen" w:hAnsi="Sylfaen" w:cs="Sylfaen"/>
          <w:sz w:val="24"/>
          <w:szCs w:val="24"/>
        </w:rPr>
        <w:t>პალიატიური</w:t>
      </w:r>
      <w:proofErr w:type="spellEnd"/>
      <w:r w:rsidR="00D247A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D247AF">
        <w:rPr>
          <w:rFonts w:ascii="Sylfaen" w:hAnsi="Sylfaen" w:cs="Sylfaen"/>
          <w:sz w:val="24"/>
          <w:szCs w:val="24"/>
        </w:rPr>
        <w:t>მზრუნველობა</w:t>
      </w:r>
      <w:proofErr w:type="spellEnd"/>
      <w:r w:rsidR="00D247AF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D247AF">
        <w:rPr>
          <w:rFonts w:ascii="Sylfaen" w:hAnsi="Sylfaen" w:cs="Sylfaen"/>
          <w:sz w:val="24"/>
          <w:szCs w:val="24"/>
        </w:rPr>
        <w:t>სტაციონარული-პალიატიური</w:t>
      </w:r>
      <w:proofErr w:type="spellEnd"/>
      <w:r w:rsidR="00D247A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D247AF">
        <w:rPr>
          <w:rFonts w:ascii="Sylfaen" w:hAnsi="Sylfaen" w:cs="Sylfaen"/>
          <w:sz w:val="24"/>
          <w:szCs w:val="24"/>
        </w:rPr>
        <w:t>მზრუნველობა</w:t>
      </w:r>
      <w:proofErr w:type="spellEnd"/>
      <w:r w:rsidR="00112A04">
        <w:rPr>
          <w:rFonts w:ascii="Sylfaen" w:hAnsi="Sylfaen" w:cs="Sylfaen"/>
          <w:sz w:val="24"/>
          <w:szCs w:val="24"/>
          <w:lang w:val="ka-GE"/>
        </w:rPr>
        <w:t>,</w:t>
      </w:r>
      <w:r w:rsidR="00D247A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D247AF">
        <w:rPr>
          <w:rFonts w:ascii="Sylfaen" w:hAnsi="Sylfaen" w:cs="Sylfaen"/>
          <w:sz w:val="24"/>
          <w:szCs w:val="24"/>
        </w:rPr>
        <w:t>სიმპტომური</w:t>
      </w:r>
      <w:proofErr w:type="spellEnd"/>
      <w:r w:rsidR="00D247A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D247AF">
        <w:rPr>
          <w:rFonts w:ascii="Sylfaen" w:hAnsi="Sylfaen" w:cs="Sylfaen"/>
          <w:sz w:val="24"/>
          <w:szCs w:val="24"/>
        </w:rPr>
        <w:t>მკურნალობა</w:t>
      </w:r>
      <w:proofErr w:type="spellEnd"/>
      <w:r w:rsidR="001D5B8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247AF">
        <w:rPr>
          <w:rFonts w:ascii="Sylfaen" w:hAnsi="Sylfaen" w:cs="Sylfaen"/>
          <w:sz w:val="24"/>
          <w:szCs w:val="24"/>
          <w:lang w:val="ka-GE"/>
        </w:rPr>
        <w:t xml:space="preserve">და </w:t>
      </w:r>
      <w:proofErr w:type="spellStart"/>
      <w:r w:rsidR="00D247AF">
        <w:rPr>
          <w:rFonts w:ascii="Sylfaen" w:hAnsi="Sylfaen" w:cs="Sylfaen"/>
          <w:sz w:val="24"/>
          <w:szCs w:val="24"/>
        </w:rPr>
        <w:t>ინკურაბელურ</w:t>
      </w:r>
      <w:proofErr w:type="spellEnd"/>
      <w:r w:rsidR="00D247A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D247AF">
        <w:rPr>
          <w:rFonts w:ascii="Sylfaen" w:hAnsi="Sylfaen" w:cs="Sylfaen"/>
          <w:sz w:val="24"/>
          <w:szCs w:val="24"/>
        </w:rPr>
        <w:t>პაციენტთა</w:t>
      </w:r>
      <w:proofErr w:type="spellEnd"/>
      <w:r w:rsidR="00D247A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D247AF">
        <w:rPr>
          <w:rFonts w:ascii="Sylfaen" w:hAnsi="Sylfaen" w:cs="Sylfaen"/>
          <w:sz w:val="24"/>
          <w:szCs w:val="24"/>
        </w:rPr>
        <w:t>მედიკამენტებით</w:t>
      </w:r>
      <w:proofErr w:type="spellEnd"/>
      <w:r w:rsidR="00D247A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D247AF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  <w:r w:rsidR="00860B54">
        <w:rPr>
          <w:rStyle w:val="FootnoteReference"/>
          <w:rFonts w:ascii="Sylfaen" w:hAnsi="Sylfaen" w:cs="Sylfaen"/>
          <w:sz w:val="24"/>
          <w:szCs w:val="24"/>
        </w:rPr>
        <w:footnoteReference w:id="3"/>
      </w:r>
      <w:r w:rsidR="001D5B82">
        <w:rPr>
          <w:rFonts w:ascii="Sylfaen" w:hAnsi="Sylfaen" w:cs="Sylfaen"/>
          <w:sz w:val="24"/>
          <w:szCs w:val="24"/>
          <w:lang w:val="ka-GE"/>
        </w:rPr>
        <w:t>.</w:t>
      </w:r>
      <w:r w:rsidR="00D247AF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AA28DE" w:rsidRDefault="00AA28DE" w:rsidP="003D2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/>
        <w:ind w:firstLine="63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>
        <w:rPr>
          <w:rFonts w:ascii="Sylfaen" w:hAnsi="Sylfaen" w:cs="Sylfaen"/>
          <w:sz w:val="24"/>
          <w:szCs w:val="24"/>
        </w:rPr>
        <w:t>პროგრამის</w:t>
      </w:r>
      <w:proofErr w:type="spellEnd"/>
      <w:proofErr w:type="gram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ბიუჯეტი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r w:rsidR="007A08AE">
        <w:rPr>
          <w:rFonts w:ascii="Sylfaen" w:hAnsi="Sylfaen" w:cs="Sylfaen"/>
          <w:sz w:val="24"/>
          <w:szCs w:val="24"/>
          <w:lang w:val="ka-GE"/>
        </w:rPr>
        <w:t xml:space="preserve">2016 წლის დასაწყისში </w:t>
      </w:r>
      <w:proofErr w:type="spellStart"/>
      <w:r>
        <w:rPr>
          <w:rFonts w:ascii="Sylfaen" w:hAnsi="Sylfaen" w:cs="Sylfaen"/>
          <w:sz w:val="24"/>
          <w:szCs w:val="24"/>
        </w:rPr>
        <w:t>განისაზღვრა</w:t>
      </w:r>
      <w:proofErr w:type="spellEnd"/>
      <w:r>
        <w:rPr>
          <w:rFonts w:ascii="Sylfaen" w:hAnsi="Sylfaen" w:cs="Sylfaen"/>
          <w:sz w:val="24"/>
          <w:szCs w:val="24"/>
        </w:rPr>
        <w:t xml:space="preserve"> 3</w:t>
      </w:r>
      <w:r w:rsidR="00E44E8F">
        <w:rPr>
          <w:rFonts w:ascii="Sylfaen" w:hAnsi="Sylfaen" w:cs="Sylfaen"/>
          <w:sz w:val="24"/>
          <w:szCs w:val="24"/>
          <w:lang w:val="ka-GE"/>
        </w:rPr>
        <w:t>,</w:t>
      </w:r>
      <w:r>
        <w:rPr>
          <w:rFonts w:ascii="Sylfaen" w:hAnsi="Sylfaen" w:cs="Sylfaen"/>
          <w:sz w:val="24"/>
          <w:szCs w:val="24"/>
        </w:rPr>
        <w:t xml:space="preserve">100.0 </w:t>
      </w:r>
      <w:proofErr w:type="spellStart"/>
      <w:r>
        <w:rPr>
          <w:rFonts w:ascii="Sylfaen" w:hAnsi="Sylfaen" w:cs="Sylfaen"/>
          <w:sz w:val="24"/>
          <w:szCs w:val="24"/>
        </w:rPr>
        <w:t>ათასი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ლარით</w:t>
      </w:r>
      <w:proofErr w:type="spellEnd"/>
      <w:r>
        <w:rPr>
          <w:rFonts w:ascii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</w:rPr>
        <w:t>შემდეგი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ცხრილის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="00ED5D8C">
        <w:rPr>
          <w:rStyle w:val="FootnoteReference"/>
          <w:rFonts w:ascii="Sylfaen" w:hAnsi="Sylfaen" w:cs="Sylfaen"/>
          <w:sz w:val="24"/>
          <w:szCs w:val="24"/>
        </w:rPr>
        <w:footnoteReference w:id="4"/>
      </w:r>
      <w:r>
        <w:rPr>
          <w:rFonts w:ascii="Sylfaen" w:hAnsi="Sylfaen" w:cs="Sylfaen"/>
          <w:sz w:val="24"/>
          <w:szCs w:val="24"/>
        </w:rPr>
        <w:t>:</w:t>
      </w:r>
    </w:p>
    <w:p w:rsidR="00AA28DE" w:rsidRDefault="00AA28DE" w:rsidP="006C3F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0" w:lineRule="atLeast"/>
        <w:jc w:val="both"/>
        <w:rPr>
          <w:rFonts w:ascii="Sylfaen" w:hAnsi="Sylfaen" w:cs="Sylfaen"/>
          <w:sz w:val="24"/>
          <w:szCs w:val="24"/>
        </w:rPr>
      </w:pPr>
    </w:p>
    <w:tbl>
      <w:tblPr>
        <w:tblW w:w="9591" w:type="dxa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42"/>
        <w:gridCol w:w="6569"/>
        <w:gridCol w:w="2380"/>
      </w:tblGrid>
      <w:tr w:rsidR="00AA28DE" w:rsidTr="00E91206">
        <w:trPr>
          <w:trHeight w:val="425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lastRenderedPageBreak/>
              <w:t>№</w:t>
            </w:r>
          </w:p>
        </w:tc>
        <w:tc>
          <w:tcPr>
            <w:tcW w:w="6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კომპონენტის</w:t>
            </w:r>
            <w:proofErr w:type="spellEnd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ბიუჯეტი</w:t>
            </w:r>
            <w:proofErr w:type="spellEnd"/>
          </w:p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ათასი</w:t>
            </w:r>
            <w:proofErr w:type="spellEnd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ლარი</w:t>
            </w:r>
            <w:proofErr w:type="spellEnd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)</w:t>
            </w:r>
          </w:p>
        </w:tc>
      </w:tr>
      <w:tr w:rsidR="00AA28DE" w:rsidTr="00E91206">
        <w:trPr>
          <w:trHeight w:val="20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1</w:t>
            </w:r>
          </w:p>
        </w:tc>
        <w:tc>
          <w:tcPr>
            <w:tcW w:w="6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ინკურაბელურ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პაციენტთა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ამბულატორიული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პალიატიური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მზრუნველობა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1,</w:t>
            </w:r>
            <w:r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>8</w:t>
            </w:r>
            <w:r>
              <w:rPr>
                <w:rFonts w:ascii="Sylfaen" w:hAnsi="Sylfaen" w:cs="Sylfaen"/>
                <w:color w:val="333333"/>
                <w:sz w:val="20"/>
                <w:szCs w:val="20"/>
              </w:rPr>
              <w:t>12.0</w:t>
            </w:r>
          </w:p>
        </w:tc>
      </w:tr>
      <w:tr w:rsidR="00AA28DE" w:rsidTr="00E91206">
        <w:trPr>
          <w:trHeight w:val="20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2</w:t>
            </w:r>
          </w:p>
        </w:tc>
        <w:tc>
          <w:tcPr>
            <w:tcW w:w="6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ინკურაბელურ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პაციენტთა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სტაციონარული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პალიატიური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მზრუნველობა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Sylfaen"/>
                <w:color w:val="333333"/>
                <w:sz w:val="20"/>
                <w:szCs w:val="20"/>
              </w:rPr>
              <w:t>60.0</w:t>
            </w:r>
          </w:p>
        </w:tc>
      </w:tr>
      <w:tr w:rsidR="00AA28DE" w:rsidTr="00E91206">
        <w:trPr>
          <w:trHeight w:val="219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3</w:t>
            </w:r>
          </w:p>
        </w:tc>
        <w:tc>
          <w:tcPr>
            <w:tcW w:w="6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ინკურაბელურ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პაციენტთა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მედიკამენტებით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უზრუნველყოფა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მათ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შორის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928.0</w:t>
            </w:r>
          </w:p>
        </w:tc>
      </w:tr>
      <w:tr w:rsidR="00AA28DE" w:rsidTr="00E91206">
        <w:trPr>
          <w:trHeight w:val="20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3.1</w:t>
            </w:r>
          </w:p>
        </w:tc>
        <w:tc>
          <w:tcPr>
            <w:tcW w:w="6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ინკურაბელურ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პაციენტთა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მედიკამენტებით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უზრუნველყოფა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642.0</w:t>
            </w:r>
          </w:p>
        </w:tc>
      </w:tr>
      <w:tr w:rsidR="00AA28DE" w:rsidTr="00E91206">
        <w:trPr>
          <w:trHeight w:val="425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3.2</w:t>
            </w:r>
          </w:p>
        </w:tc>
        <w:tc>
          <w:tcPr>
            <w:tcW w:w="6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სპეციალურ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სამკურნალო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საშუალებათა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ტრანსპორტირების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შენახვისა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გაცემის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ხარჯები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286.0</w:t>
            </w:r>
          </w:p>
        </w:tc>
      </w:tr>
      <w:tr w:rsidR="00AA28DE" w:rsidTr="00E91206">
        <w:trPr>
          <w:trHeight w:val="32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სულ</w:t>
            </w:r>
            <w:proofErr w:type="spellEnd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AA28DE" w:rsidRDefault="00AA28DE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3,100.0</w:t>
            </w:r>
            <w:proofErr w:type="gramStart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.“</w:t>
            </w:r>
            <w:proofErr w:type="gramEnd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.</w:t>
            </w:r>
          </w:p>
        </w:tc>
      </w:tr>
    </w:tbl>
    <w:p w:rsidR="00BE5981" w:rsidRDefault="00AA28DE" w:rsidP="003D2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/>
        <w:ind w:firstLine="720"/>
        <w:jc w:val="both"/>
        <w:rPr>
          <w:rFonts w:ascii="Sylfaen" w:eastAsiaTheme="minorHAnsi" w:hAnsi="Sylfaen" w:cstheme="minorBidi"/>
          <w:sz w:val="24"/>
          <w:szCs w:val="24"/>
          <w:lang w:val="ka-GE"/>
        </w:rPr>
      </w:pPr>
      <w:r>
        <w:rPr>
          <w:rFonts w:ascii="Sylfaen" w:eastAsiaTheme="minorHAnsi" w:hAnsi="Sylfaen" w:cstheme="minorBidi"/>
          <w:sz w:val="24"/>
          <w:szCs w:val="24"/>
          <w:lang w:val="ka-GE"/>
        </w:rPr>
        <w:t xml:space="preserve">მიმდინარე წლის 29 სექტემბერს </w:t>
      </w:r>
      <w:r w:rsidR="00BE5981" w:rsidRPr="00BE5981">
        <w:rPr>
          <w:rFonts w:ascii="Sylfaen" w:eastAsiaTheme="minorHAnsi" w:hAnsi="Sylfaen" w:cstheme="minorBidi"/>
          <w:sz w:val="24"/>
          <w:szCs w:val="24"/>
          <w:lang w:val="ka-GE"/>
        </w:rPr>
        <w:t>„2016 წლის ჯანმრთელობის დაცვის სახელმწიფო პროგრამების დამტკიცების შესახებ“ საქართველოს მთავრობის 2015 წლის 30 დეკემბრის №660 დადგენილებაში</w:t>
      </w:r>
      <w:r w:rsidR="00BE5981">
        <w:rPr>
          <w:rFonts w:ascii="Sylfaen" w:hAnsi="Sylfaen" w:cs="Sylfaen"/>
          <w:b/>
          <w:bCs/>
          <w:sz w:val="32"/>
          <w:szCs w:val="32"/>
        </w:rPr>
        <w:t xml:space="preserve"> </w:t>
      </w:r>
      <w:r>
        <w:rPr>
          <w:rFonts w:ascii="Sylfaen" w:eastAsiaTheme="minorHAnsi" w:hAnsi="Sylfaen" w:cstheme="minorBidi"/>
          <w:sz w:val="24"/>
          <w:szCs w:val="24"/>
          <w:lang w:val="ka-GE"/>
        </w:rPr>
        <w:t xml:space="preserve">საქართველოს მთავრობის </w:t>
      </w:r>
      <w:r w:rsidR="00BE5981" w:rsidRPr="00BE5981">
        <w:rPr>
          <w:rFonts w:ascii="Sylfaen" w:eastAsiaTheme="minorHAnsi" w:hAnsi="Sylfaen" w:cstheme="minorBidi"/>
          <w:sz w:val="24"/>
          <w:szCs w:val="24"/>
          <w:lang w:val="ka-GE"/>
        </w:rPr>
        <w:t>№</w:t>
      </w:r>
      <w:r w:rsidR="00BE5981">
        <w:rPr>
          <w:rFonts w:ascii="Sylfaen" w:eastAsiaTheme="minorHAnsi" w:hAnsi="Sylfaen" w:cstheme="minorBidi"/>
          <w:sz w:val="24"/>
          <w:szCs w:val="24"/>
          <w:lang w:val="ka-GE"/>
        </w:rPr>
        <w:t xml:space="preserve">455 დადგენილებით შევიდა ცვლილება, რომლითაც </w:t>
      </w:r>
      <w:r w:rsidR="00BE5981" w:rsidRPr="002F4EC1">
        <w:rPr>
          <w:rFonts w:ascii="Sylfaen" w:eastAsiaTheme="minorHAnsi" w:hAnsi="Sylfaen" w:cstheme="minorBidi"/>
          <w:sz w:val="24"/>
          <w:szCs w:val="24"/>
          <w:lang w:val="ka-GE"/>
        </w:rPr>
        <w:t>შემცირდა</w:t>
      </w:r>
      <w:r w:rsidR="00BE5981" w:rsidRPr="00BE5981">
        <w:rPr>
          <w:rFonts w:ascii="Sylfaen" w:eastAsiaTheme="minorHAnsi" w:hAnsi="Sylfaen" w:cstheme="minorBidi"/>
          <w:b/>
          <w:sz w:val="24"/>
          <w:szCs w:val="24"/>
          <w:lang w:val="ka-GE"/>
        </w:rPr>
        <w:t xml:space="preserve"> </w:t>
      </w:r>
      <w:r w:rsidR="00BE5981">
        <w:rPr>
          <w:rFonts w:ascii="Sylfaen" w:eastAsiaTheme="minorHAnsi" w:hAnsi="Sylfaen" w:cstheme="minorBidi"/>
          <w:sz w:val="24"/>
          <w:szCs w:val="24"/>
          <w:lang w:val="ka-GE"/>
        </w:rPr>
        <w:t xml:space="preserve">ინკურაბელურ პაციენტთა ამბულატორიული პალიატიური მზრუნველობის კომპონენტის </w:t>
      </w:r>
      <w:r w:rsidR="00BE5981" w:rsidRPr="002F4EC1">
        <w:rPr>
          <w:rFonts w:ascii="Sylfaen" w:eastAsiaTheme="minorHAnsi" w:hAnsi="Sylfaen" w:cstheme="minorBidi"/>
          <w:sz w:val="24"/>
          <w:szCs w:val="24"/>
          <w:lang w:val="ka-GE"/>
        </w:rPr>
        <w:t>ბიუჯეტი 1 512 000 ლარამდე და გაიზარდა</w:t>
      </w:r>
      <w:r w:rsidR="00BE5981" w:rsidRPr="00BE5981">
        <w:rPr>
          <w:rFonts w:ascii="Sylfaen" w:eastAsiaTheme="minorHAnsi" w:hAnsi="Sylfaen" w:cstheme="minorBidi"/>
          <w:b/>
          <w:sz w:val="24"/>
          <w:szCs w:val="24"/>
          <w:lang w:val="ka-GE"/>
        </w:rPr>
        <w:t xml:space="preserve"> </w:t>
      </w:r>
      <w:r w:rsidR="00BE5981">
        <w:rPr>
          <w:rFonts w:ascii="Sylfaen" w:eastAsiaTheme="minorHAnsi" w:hAnsi="Sylfaen" w:cstheme="minorBidi"/>
          <w:sz w:val="24"/>
          <w:szCs w:val="24"/>
          <w:lang w:val="ka-GE"/>
        </w:rPr>
        <w:t xml:space="preserve">ინკურაბელურ პაციენტთა სტაციონარული პალიატიური მზრუნველობის კომპონენტის ბიუჯეტი </w:t>
      </w:r>
      <w:r w:rsidR="00BE5981" w:rsidRPr="002F4EC1">
        <w:rPr>
          <w:rFonts w:ascii="Sylfaen" w:eastAsiaTheme="minorHAnsi" w:hAnsi="Sylfaen" w:cstheme="minorBidi"/>
          <w:sz w:val="24"/>
          <w:szCs w:val="24"/>
          <w:lang w:val="ka-GE"/>
        </w:rPr>
        <w:t>660 000 ლარამდე.</w:t>
      </w:r>
      <w:r w:rsidR="00BE5981">
        <w:rPr>
          <w:rFonts w:ascii="Sylfaen" w:eastAsiaTheme="minorHAnsi" w:hAnsi="Sylfaen" w:cstheme="minorBidi"/>
          <w:sz w:val="24"/>
          <w:szCs w:val="24"/>
          <w:lang w:val="ka-GE"/>
        </w:rPr>
        <w:t xml:space="preserve"> შესაბამისად, ბიუჯეტის კორექტირებული ვარიანტი აღნიშნული ცვლილების შემდეგ ასე გამოიყურება:</w:t>
      </w: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6452"/>
        <w:gridCol w:w="2329"/>
      </w:tblGrid>
      <w:tr w:rsidR="00BE5981" w:rsidTr="00826C44">
        <w:trPr>
          <w:trHeight w:val="52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№</w:t>
            </w:r>
          </w:p>
        </w:tc>
        <w:tc>
          <w:tcPr>
            <w:tcW w:w="6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კომპონენტის</w:t>
            </w:r>
            <w:proofErr w:type="spellEnd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ბიუჯეტი</w:t>
            </w:r>
            <w:proofErr w:type="spellEnd"/>
          </w:p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ათასი</w:t>
            </w:r>
            <w:proofErr w:type="spellEnd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ლარი</w:t>
            </w:r>
            <w:proofErr w:type="spellEnd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)</w:t>
            </w:r>
          </w:p>
        </w:tc>
      </w:tr>
      <w:tr w:rsidR="00BE5981" w:rsidTr="00826C44">
        <w:trPr>
          <w:trHeight w:val="25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1</w:t>
            </w:r>
          </w:p>
        </w:tc>
        <w:tc>
          <w:tcPr>
            <w:tcW w:w="6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ინკურაბელურ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პაციენტთა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ამბულატორიული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პალიატიური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მზრუნველობა</w:t>
            </w:r>
            <w:proofErr w:type="spellEnd"/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1,512.0</w:t>
            </w:r>
          </w:p>
        </w:tc>
      </w:tr>
      <w:tr w:rsidR="00BE5981" w:rsidTr="00826C44">
        <w:trPr>
          <w:trHeight w:val="25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2</w:t>
            </w:r>
          </w:p>
        </w:tc>
        <w:tc>
          <w:tcPr>
            <w:tcW w:w="6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ინკურაბელურ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პაციენტთა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სტაციონარული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პალიატიური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მზრუნველობა</w:t>
            </w:r>
            <w:proofErr w:type="spellEnd"/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660.0</w:t>
            </w:r>
          </w:p>
        </w:tc>
      </w:tr>
      <w:tr w:rsidR="00BE5981" w:rsidTr="00826C44">
        <w:trPr>
          <w:trHeight w:val="27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lastRenderedPageBreak/>
              <w:t>3</w:t>
            </w:r>
          </w:p>
        </w:tc>
        <w:tc>
          <w:tcPr>
            <w:tcW w:w="6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ინკურაბელურ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პაციენტთა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მედიკამენტებით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უზრუნველყოფა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მათ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შორის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>: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928.0</w:t>
            </w:r>
          </w:p>
        </w:tc>
      </w:tr>
      <w:tr w:rsidR="00BE5981" w:rsidTr="00826C44">
        <w:trPr>
          <w:trHeight w:val="25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3.1</w:t>
            </w:r>
          </w:p>
        </w:tc>
        <w:tc>
          <w:tcPr>
            <w:tcW w:w="6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ინკურაბელურ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პაციენტთა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მედიკამენტებით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უზრუნველყოფა</w:t>
            </w:r>
            <w:proofErr w:type="spellEnd"/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642.0</w:t>
            </w:r>
          </w:p>
        </w:tc>
      </w:tr>
      <w:tr w:rsidR="00BE5981" w:rsidTr="00826C44">
        <w:trPr>
          <w:trHeight w:val="52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3.2</w:t>
            </w:r>
          </w:p>
        </w:tc>
        <w:tc>
          <w:tcPr>
            <w:tcW w:w="6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სპეციალურ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სამკურნალო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საშუალებათა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ტრანსპორტირების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შენახვისა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გაცემის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ხარჯები</w:t>
            </w:r>
            <w:proofErr w:type="spellEnd"/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286.0</w:t>
            </w:r>
          </w:p>
        </w:tc>
      </w:tr>
      <w:tr w:rsidR="00BE5981" w:rsidTr="00826C44">
        <w:trPr>
          <w:trHeight w:val="27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სულ</w:t>
            </w:r>
            <w:proofErr w:type="spellEnd"/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: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:rsidR="00BE5981" w:rsidRDefault="00BE5981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jc w:val="both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333333"/>
                <w:sz w:val="20"/>
                <w:szCs w:val="20"/>
              </w:rPr>
              <w:t>3,100.0.</w:t>
            </w:r>
          </w:p>
        </w:tc>
      </w:tr>
    </w:tbl>
    <w:p w:rsidR="005D6688" w:rsidRPr="003D280D" w:rsidRDefault="00BE5981" w:rsidP="003D2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D280D">
        <w:rPr>
          <w:rFonts w:ascii="Sylfaen" w:eastAsiaTheme="minorHAnsi" w:hAnsi="Sylfaen" w:cstheme="minorBidi"/>
          <w:sz w:val="24"/>
          <w:szCs w:val="24"/>
          <w:lang w:val="ka-GE"/>
        </w:rPr>
        <w:t xml:space="preserve"> </w:t>
      </w:r>
      <w:r w:rsidR="005D6688" w:rsidRPr="003D280D">
        <w:rPr>
          <w:rFonts w:ascii="Sylfaen" w:hAnsi="Sylfaen"/>
          <w:sz w:val="24"/>
          <w:szCs w:val="24"/>
          <w:lang w:val="ka-GE"/>
        </w:rPr>
        <w:t xml:space="preserve">როგორც უკვე აღვნიშნეთ, პროგრამით დამტკიცებული წლიური ასიგნება განისაზღვრა </w:t>
      </w:r>
      <w:r w:rsidR="005D6688" w:rsidRPr="003D280D">
        <w:rPr>
          <w:rFonts w:ascii="Sylfaen" w:hAnsi="Sylfaen"/>
          <w:b/>
          <w:sz w:val="24"/>
          <w:szCs w:val="24"/>
        </w:rPr>
        <w:t>3</w:t>
      </w:r>
      <w:r w:rsidR="005D6688" w:rsidRPr="003D280D">
        <w:rPr>
          <w:rFonts w:ascii="Sylfaen" w:hAnsi="Sylfaen"/>
          <w:b/>
          <w:sz w:val="24"/>
          <w:szCs w:val="24"/>
          <w:lang w:val="ka-GE"/>
        </w:rPr>
        <w:t xml:space="preserve"> 100,0</w:t>
      </w:r>
      <w:r w:rsidR="005D6688" w:rsidRPr="003D280D">
        <w:rPr>
          <w:rFonts w:ascii="Sylfaen" w:hAnsi="Sylfaen"/>
          <w:sz w:val="24"/>
          <w:szCs w:val="24"/>
          <w:lang w:val="ka-GE"/>
        </w:rPr>
        <w:t xml:space="preserve"> ათასი ლარის ოდენობით. წლის ცხრა თვის დამტკიცებული გეგმა წლიური ასიგნებების ფარგლებში დაზუ</w:t>
      </w:r>
      <w:r w:rsidR="00934C6D">
        <w:rPr>
          <w:rFonts w:ascii="Sylfaen" w:hAnsi="Sylfaen"/>
          <w:sz w:val="24"/>
          <w:szCs w:val="24"/>
          <w:lang w:val="ka-GE"/>
        </w:rPr>
        <w:t>ს</w:t>
      </w:r>
      <w:r w:rsidR="005D6688" w:rsidRPr="003D280D">
        <w:rPr>
          <w:rFonts w:ascii="Sylfaen" w:hAnsi="Sylfaen"/>
          <w:sz w:val="24"/>
          <w:szCs w:val="24"/>
          <w:lang w:val="ka-GE"/>
        </w:rPr>
        <w:t xml:space="preserve">ტდა </w:t>
      </w:r>
      <w:r w:rsidR="005D6688" w:rsidRPr="003D280D">
        <w:rPr>
          <w:rFonts w:ascii="Sylfaen" w:hAnsi="Sylfaen"/>
          <w:b/>
          <w:sz w:val="24"/>
          <w:szCs w:val="24"/>
          <w:lang w:val="ka-GE"/>
        </w:rPr>
        <w:t>1 793,0</w:t>
      </w:r>
      <w:r w:rsidR="005D6688" w:rsidRPr="003D280D">
        <w:rPr>
          <w:rFonts w:ascii="Sylfaen" w:hAnsi="Sylfaen"/>
          <w:sz w:val="24"/>
          <w:szCs w:val="24"/>
          <w:lang w:val="ka-GE"/>
        </w:rPr>
        <w:t xml:space="preserve"> ათასი ლარიდან  </w:t>
      </w:r>
      <w:r w:rsidR="005D6688" w:rsidRPr="003D280D">
        <w:rPr>
          <w:rFonts w:ascii="Sylfaen" w:hAnsi="Sylfaen"/>
          <w:b/>
          <w:sz w:val="24"/>
          <w:szCs w:val="24"/>
          <w:lang w:val="ka-GE"/>
        </w:rPr>
        <w:t>1 619,0</w:t>
      </w:r>
      <w:r w:rsidR="005D6688" w:rsidRPr="003D280D">
        <w:rPr>
          <w:rFonts w:ascii="Sylfaen" w:hAnsi="Sylfaen"/>
          <w:sz w:val="24"/>
          <w:szCs w:val="24"/>
          <w:lang w:val="ka-GE"/>
        </w:rPr>
        <w:t xml:space="preserve"> ათას ლარამდე. პერიოდის საკასო ხარჯმა შეადგინა </w:t>
      </w:r>
      <w:r w:rsidR="005D6688" w:rsidRPr="003D280D">
        <w:rPr>
          <w:rFonts w:ascii="Sylfaen" w:hAnsi="Sylfaen"/>
          <w:b/>
          <w:sz w:val="24"/>
          <w:szCs w:val="24"/>
          <w:lang w:val="ka-GE"/>
        </w:rPr>
        <w:t>1 140,6</w:t>
      </w:r>
      <w:r w:rsidR="005D6688" w:rsidRPr="003D280D">
        <w:rPr>
          <w:rFonts w:ascii="Sylfaen" w:hAnsi="Sylfaen"/>
          <w:sz w:val="24"/>
          <w:szCs w:val="24"/>
          <w:lang w:val="ka-GE"/>
        </w:rPr>
        <w:t xml:space="preserve"> ათასი ლარი. </w:t>
      </w:r>
    </w:p>
    <w:p w:rsidR="005D6688" w:rsidRPr="00305580" w:rsidRDefault="005D6688" w:rsidP="006C3FC8">
      <w:pPr>
        <w:spacing w:before="240"/>
        <w:ind w:left="7200" w:firstLine="720"/>
        <w:jc w:val="both"/>
        <w:rPr>
          <w:rFonts w:ascii="Sylfaen" w:hAnsi="Sylfaen"/>
          <w:sz w:val="16"/>
          <w:szCs w:val="24"/>
          <w:lang w:val="ka-GE"/>
        </w:rPr>
      </w:pPr>
      <w:r w:rsidRPr="00305580">
        <w:rPr>
          <w:rFonts w:ascii="Sylfaen" w:hAnsi="Sylfaen"/>
          <w:sz w:val="16"/>
          <w:szCs w:val="24"/>
          <w:lang w:val="ka-GE"/>
        </w:rPr>
        <w:t xml:space="preserve">(ათასი ლარი) </w:t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2268"/>
        <w:gridCol w:w="992"/>
        <w:gridCol w:w="993"/>
        <w:gridCol w:w="992"/>
        <w:gridCol w:w="992"/>
        <w:gridCol w:w="851"/>
        <w:gridCol w:w="708"/>
      </w:tblGrid>
      <w:tr w:rsidR="005D6688" w:rsidRPr="00305580" w:rsidTr="00CF7108">
        <w:trPr>
          <w:trHeight w:val="442"/>
        </w:trPr>
        <w:tc>
          <w:tcPr>
            <w:tcW w:w="1291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88" w:rsidRPr="00305580" w:rsidRDefault="005D6688" w:rsidP="006C3FC8">
            <w:pPr>
              <w:spacing w:before="240"/>
              <w:rPr>
                <w:rFonts w:cs="Calibri"/>
                <w:bCs/>
                <w:sz w:val="16"/>
                <w:szCs w:val="16"/>
                <w:lang w:val="ka-GE"/>
              </w:rPr>
            </w:pPr>
            <w:r w:rsidRPr="00305580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პროგრამული</w:t>
            </w:r>
            <w:r w:rsidRPr="00305580">
              <w:rPr>
                <w:rFonts w:cs="Calibri"/>
                <w:bCs/>
                <w:sz w:val="16"/>
                <w:szCs w:val="16"/>
                <w:lang w:val="ka-GE"/>
              </w:rPr>
              <w:t xml:space="preserve"> </w:t>
            </w:r>
            <w:r w:rsidRPr="00305580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კოდი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688" w:rsidRPr="00305580" w:rsidRDefault="005D6688" w:rsidP="006C3FC8">
            <w:pPr>
              <w:spacing w:before="240"/>
              <w:rPr>
                <w:rFonts w:cs="Calibri"/>
                <w:bCs/>
                <w:sz w:val="16"/>
                <w:szCs w:val="16"/>
                <w:lang w:val="ka-GE"/>
              </w:rPr>
            </w:pPr>
            <w:r w:rsidRPr="00305580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დ</w:t>
            </w:r>
            <w:r w:rsidRPr="00305580">
              <w:rPr>
                <w:rFonts w:cs="Calibri"/>
                <w:bCs/>
                <w:sz w:val="16"/>
                <w:szCs w:val="16"/>
                <w:lang w:val="ka-GE"/>
              </w:rPr>
              <w:t xml:space="preserve"> </w:t>
            </w:r>
            <w:r w:rsidRPr="00305580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</w:t>
            </w:r>
            <w:r w:rsidRPr="00305580">
              <w:rPr>
                <w:rFonts w:cs="Calibri"/>
                <w:bCs/>
                <w:sz w:val="16"/>
                <w:szCs w:val="16"/>
                <w:lang w:val="ka-GE"/>
              </w:rPr>
              <w:t xml:space="preserve"> </w:t>
            </w:r>
            <w:r w:rsidRPr="00305580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ს</w:t>
            </w:r>
            <w:r w:rsidRPr="00305580">
              <w:rPr>
                <w:rFonts w:cs="Calibri"/>
                <w:bCs/>
                <w:sz w:val="16"/>
                <w:szCs w:val="16"/>
                <w:lang w:val="ka-GE"/>
              </w:rPr>
              <w:t xml:space="preserve"> </w:t>
            </w:r>
            <w:r w:rsidRPr="00305580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</w:t>
            </w:r>
            <w:r w:rsidRPr="00305580">
              <w:rPr>
                <w:rFonts w:cs="Calibri"/>
                <w:bCs/>
                <w:sz w:val="16"/>
                <w:szCs w:val="16"/>
                <w:lang w:val="ka-GE"/>
              </w:rPr>
              <w:t xml:space="preserve"> </w:t>
            </w:r>
            <w:r w:rsidRPr="00305580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ხ</w:t>
            </w:r>
            <w:r w:rsidRPr="00305580">
              <w:rPr>
                <w:rFonts w:cs="Calibri"/>
                <w:bCs/>
                <w:sz w:val="16"/>
                <w:szCs w:val="16"/>
                <w:lang w:val="ka-GE"/>
              </w:rPr>
              <w:t xml:space="preserve"> </w:t>
            </w:r>
            <w:r w:rsidRPr="00305580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ე</w:t>
            </w:r>
            <w:r w:rsidRPr="00305580">
              <w:rPr>
                <w:rFonts w:cs="Calibri"/>
                <w:bCs/>
                <w:sz w:val="16"/>
                <w:szCs w:val="16"/>
                <w:lang w:val="ka-GE"/>
              </w:rPr>
              <w:t xml:space="preserve"> </w:t>
            </w:r>
            <w:r w:rsidRPr="00305580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ლ</w:t>
            </w:r>
            <w:r w:rsidRPr="00305580">
              <w:rPr>
                <w:rFonts w:cs="Calibri"/>
                <w:bCs/>
                <w:sz w:val="16"/>
                <w:szCs w:val="16"/>
                <w:lang w:val="ka-GE"/>
              </w:rPr>
              <w:t xml:space="preserve"> </w:t>
            </w:r>
            <w:r w:rsidRPr="00305580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ე</w:t>
            </w:r>
            <w:r w:rsidRPr="00305580">
              <w:rPr>
                <w:rFonts w:cs="Calibri"/>
                <w:bCs/>
                <w:sz w:val="16"/>
                <w:szCs w:val="16"/>
                <w:lang w:val="ka-GE"/>
              </w:rPr>
              <w:t xml:space="preserve"> </w:t>
            </w:r>
            <w:r w:rsidRPr="00305580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ბ</w:t>
            </w:r>
            <w:r w:rsidRPr="00305580">
              <w:rPr>
                <w:rFonts w:cs="Calibri"/>
                <w:bCs/>
                <w:sz w:val="16"/>
                <w:szCs w:val="16"/>
                <w:lang w:val="ka-GE"/>
              </w:rPr>
              <w:t xml:space="preserve"> </w:t>
            </w:r>
            <w:r w:rsidRPr="00305580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ა</w:t>
            </w:r>
          </w:p>
        </w:tc>
        <w:tc>
          <w:tcPr>
            <w:tcW w:w="1985" w:type="dxa"/>
            <w:gridSpan w:val="2"/>
            <w:tcBorders>
              <w:top w:val="double" w:sz="6" w:space="0" w:color="16365C"/>
              <w:left w:val="single" w:sz="4" w:space="0" w:color="0F243E"/>
              <w:bottom w:val="single" w:sz="4" w:space="0" w:color="0F243E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5D6688" w:rsidRPr="00305580" w:rsidRDefault="005D6688" w:rsidP="006C3FC8">
            <w:pPr>
              <w:spacing w:before="240"/>
              <w:ind w:firstLine="52"/>
              <w:rPr>
                <w:rFonts w:ascii="Sylfaen" w:hAnsi="Sylfaen" w:cs="Calibri"/>
                <w:bCs/>
                <w:sz w:val="14"/>
                <w:szCs w:val="14"/>
                <w:lang w:val="ka-GE"/>
              </w:rPr>
            </w:pPr>
            <w:r w:rsidRPr="00305580">
              <w:rPr>
                <w:rFonts w:cs="Calibri"/>
                <w:bCs/>
                <w:sz w:val="14"/>
                <w:szCs w:val="14"/>
                <w:lang w:val="ka-GE"/>
              </w:rPr>
              <w:t xml:space="preserve">2016 </w:t>
            </w:r>
            <w:r w:rsidRPr="00305580">
              <w:rPr>
                <w:rFonts w:ascii="Sylfaen" w:hAnsi="Sylfaen" w:cs="Sylfaen"/>
                <w:bCs/>
                <w:sz w:val="14"/>
                <w:szCs w:val="14"/>
                <w:lang w:val="ka-GE"/>
              </w:rPr>
              <w:t>წლის</w:t>
            </w:r>
            <w:r w:rsidRPr="00305580">
              <w:rPr>
                <w:rFonts w:cs="Calibri"/>
                <w:bCs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double" w:sz="6" w:space="0" w:color="16365C"/>
              <w:left w:val="single" w:sz="4" w:space="0" w:color="16365C"/>
              <w:bottom w:val="single" w:sz="4" w:space="0" w:color="16365C"/>
              <w:right w:val="single" w:sz="4" w:space="0" w:color="0F243E"/>
            </w:tcBorders>
            <w:shd w:val="clear" w:color="000000" w:fill="DDD9C4"/>
            <w:vAlign w:val="center"/>
          </w:tcPr>
          <w:p w:rsidR="005D6688" w:rsidRPr="00305580" w:rsidRDefault="005D6688" w:rsidP="006C3FC8">
            <w:pPr>
              <w:spacing w:before="240"/>
              <w:ind w:hanging="108"/>
              <w:rPr>
                <w:rFonts w:ascii="Sylfaen" w:hAnsi="Sylfaen" w:cs="Calibri"/>
                <w:bCs/>
                <w:sz w:val="14"/>
                <w:szCs w:val="14"/>
                <w:lang w:val="ka-GE"/>
              </w:rPr>
            </w:pPr>
            <w:r w:rsidRPr="00305580">
              <w:rPr>
                <w:rFonts w:cs="Calibri"/>
                <w:bCs/>
                <w:sz w:val="14"/>
                <w:szCs w:val="14"/>
                <w:lang w:val="ka-GE"/>
              </w:rPr>
              <w:t xml:space="preserve">2016 </w:t>
            </w:r>
            <w:r w:rsidRPr="00305580">
              <w:rPr>
                <w:rFonts w:ascii="Sylfaen" w:hAnsi="Sylfaen" w:cs="Sylfaen"/>
                <w:bCs/>
                <w:sz w:val="14"/>
                <w:szCs w:val="14"/>
                <w:lang w:val="ka-GE"/>
              </w:rPr>
              <w:t>წლის</w:t>
            </w:r>
            <w:r w:rsidRPr="00305580">
              <w:rPr>
                <w:rFonts w:cs="Calibri"/>
                <w:bCs/>
                <w:sz w:val="14"/>
                <w:szCs w:val="14"/>
                <w:lang w:val="ka-GE"/>
              </w:rPr>
              <w:t xml:space="preserve"> </w:t>
            </w:r>
            <w:r w:rsidRPr="00305580">
              <w:rPr>
                <w:rFonts w:ascii="Sylfaen" w:hAnsi="Sylfaen" w:cs="Sylfaen"/>
                <w:bCs/>
                <w:sz w:val="14"/>
                <w:szCs w:val="14"/>
                <w:lang w:val="ka-GE"/>
              </w:rPr>
              <w:t>ცხრა თვის</w:t>
            </w:r>
          </w:p>
        </w:tc>
        <w:tc>
          <w:tcPr>
            <w:tcW w:w="851" w:type="dxa"/>
            <w:vMerge w:val="restart"/>
            <w:tcBorders>
              <w:top w:val="double" w:sz="6" w:space="0" w:color="16365C"/>
              <w:left w:val="single" w:sz="4" w:space="0" w:color="0F243E"/>
            </w:tcBorders>
            <w:shd w:val="clear" w:color="000000" w:fill="DDD9C4"/>
            <w:vAlign w:val="center"/>
            <w:hideMark/>
          </w:tcPr>
          <w:p w:rsidR="005D6688" w:rsidRPr="00305580" w:rsidRDefault="005D6688" w:rsidP="006C3FC8">
            <w:pPr>
              <w:spacing w:before="240"/>
              <w:ind w:right="-108" w:firstLine="13"/>
              <w:rPr>
                <w:rFonts w:cs="Calibri"/>
                <w:bCs/>
                <w:sz w:val="14"/>
                <w:szCs w:val="14"/>
                <w:lang w:val="ka-GE"/>
              </w:rPr>
            </w:pPr>
            <w:r w:rsidRPr="00305580">
              <w:rPr>
                <w:rFonts w:ascii="Sylfaen" w:hAnsi="Sylfaen" w:cs="Sylfaen"/>
                <w:bCs/>
                <w:sz w:val="14"/>
                <w:szCs w:val="14"/>
                <w:lang w:val="ka-GE"/>
              </w:rPr>
              <w:t>საკასო</w:t>
            </w:r>
            <w:r w:rsidRPr="00305580">
              <w:rPr>
                <w:rFonts w:cs="Calibri"/>
                <w:bCs/>
                <w:sz w:val="14"/>
                <w:szCs w:val="14"/>
                <w:lang w:val="ka-GE"/>
              </w:rPr>
              <w:t xml:space="preserve"> </w:t>
            </w:r>
            <w:r w:rsidRPr="00305580">
              <w:rPr>
                <w:rFonts w:ascii="Sylfaen" w:hAnsi="Sylfaen" w:cs="Sylfaen"/>
                <w:bCs/>
                <w:sz w:val="14"/>
                <w:szCs w:val="14"/>
                <w:lang w:val="ka-GE"/>
              </w:rPr>
              <w:t>ხარჯი</w:t>
            </w:r>
          </w:p>
        </w:tc>
        <w:tc>
          <w:tcPr>
            <w:tcW w:w="708" w:type="dxa"/>
            <w:vMerge w:val="restart"/>
            <w:tcBorders>
              <w:top w:val="double" w:sz="6" w:space="0" w:color="16365C"/>
              <w:left w:val="single" w:sz="4" w:space="0" w:color="0F243E"/>
            </w:tcBorders>
            <w:shd w:val="clear" w:color="000000" w:fill="DDD9C4"/>
            <w:vAlign w:val="center"/>
          </w:tcPr>
          <w:p w:rsidR="005D6688" w:rsidRPr="00305580" w:rsidRDefault="005D6688" w:rsidP="006C3FC8">
            <w:pPr>
              <w:spacing w:before="240"/>
              <w:ind w:firstLine="52"/>
              <w:rPr>
                <w:rFonts w:cs="Sylfaen"/>
                <w:bCs/>
                <w:sz w:val="14"/>
                <w:szCs w:val="14"/>
                <w:lang w:val="ka-GE"/>
              </w:rPr>
            </w:pPr>
            <w:r w:rsidRPr="00305580">
              <w:rPr>
                <w:rFonts w:ascii="Sylfaen" w:hAnsi="Sylfaen" w:cs="Sylfaen"/>
                <w:bCs/>
                <w:sz w:val="14"/>
                <w:szCs w:val="14"/>
                <w:lang w:val="ka-GE"/>
              </w:rPr>
              <w:t>შესრულება</w:t>
            </w:r>
            <w:r w:rsidRPr="00305580">
              <w:rPr>
                <w:rFonts w:cs="Sylfaen"/>
                <w:bCs/>
                <w:sz w:val="14"/>
                <w:szCs w:val="14"/>
                <w:lang w:val="ka-GE"/>
              </w:rPr>
              <w:t xml:space="preserve"> %</w:t>
            </w:r>
          </w:p>
        </w:tc>
      </w:tr>
      <w:tr w:rsidR="005D6688" w:rsidRPr="00305580" w:rsidTr="00CF7108">
        <w:trPr>
          <w:trHeight w:val="441"/>
        </w:trPr>
        <w:tc>
          <w:tcPr>
            <w:tcW w:w="1291" w:type="dxa"/>
            <w:vMerge/>
            <w:tcBorders>
              <w:bottom w:val="double" w:sz="6" w:space="0" w:color="16365C"/>
              <w:right w:val="single" w:sz="4" w:space="0" w:color="auto"/>
            </w:tcBorders>
            <w:shd w:val="clear" w:color="auto" w:fill="auto"/>
            <w:vAlign w:val="center"/>
          </w:tcPr>
          <w:p w:rsidR="005D6688" w:rsidRPr="00305580" w:rsidRDefault="005D6688" w:rsidP="006C3FC8">
            <w:pPr>
              <w:spacing w:before="240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2268" w:type="dxa"/>
            <w:vMerge/>
            <w:tcBorders>
              <w:left w:val="nil"/>
              <w:bottom w:val="double" w:sz="6" w:space="0" w:color="16365C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305580" w:rsidRDefault="005D6688" w:rsidP="006C3FC8">
            <w:pPr>
              <w:spacing w:before="240"/>
              <w:rPr>
                <w:rFonts w:ascii="Sylfaen" w:hAnsi="Sylfaen" w:cs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F243E"/>
              <w:left w:val="single" w:sz="4" w:space="0" w:color="0F243E"/>
              <w:bottom w:val="double" w:sz="6" w:space="0" w:color="16365C"/>
              <w:right w:val="single" w:sz="4" w:space="0" w:color="0F243E"/>
            </w:tcBorders>
            <w:shd w:val="clear" w:color="auto" w:fill="FFFFFF" w:themeFill="background1"/>
            <w:vAlign w:val="center"/>
          </w:tcPr>
          <w:p w:rsidR="005D6688" w:rsidRPr="00305580" w:rsidRDefault="005D6688" w:rsidP="006C3FC8">
            <w:pPr>
              <w:spacing w:before="240"/>
              <w:ind w:firstLine="52"/>
              <w:rPr>
                <w:rFonts w:cs="Calibri"/>
                <w:bCs/>
                <w:sz w:val="14"/>
                <w:szCs w:val="14"/>
                <w:lang w:val="ka-GE"/>
              </w:rPr>
            </w:pPr>
            <w:r w:rsidRPr="00305580">
              <w:rPr>
                <w:rFonts w:ascii="Sylfaen" w:hAnsi="Sylfaen" w:cs="Sylfaen"/>
                <w:bCs/>
                <w:sz w:val="14"/>
                <w:szCs w:val="14"/>
                <w:lang w:val="ka-GE"/>
              </w:rPr>
              <w:t>დამტკიცებული</w:t>
            </w:r>
            <w:r w:rsidRPr="00305580">
              <w:rPr>
                <w:rFonts w:cs="Calibri"/>
                <w:bCs/>
                <w:sz w:val="14"/>
                <w:szCs w:val="14"/>
                <w:lang w:val="ka-GE"/>
              </w:rPr>
              <w:t xml:space="preserve"> </w:t>
            </w:r>
            <w:r w:rsidRPr="00305580">
              <w:rPr>
                <w:rFonts w:ascii="Sylfaen" w:hAnsi="Sylfaen" w:cs="Sylfaen"/>
                <w:bCs/>
                <w:sz w:val="14"/>
                <w:szCs w:val="14"/>
                <w:lang w:val="ka-GE"/>
              </w:rPr>
              <w:t>გეგმა</w:t>
            </w:r>
          </w:p>
        </w:tc>
        <w:tc>
          <w:tcPr>
            <w:tcW w:w="993" w:type="dxa"/>
            <w:tcBorders>
              <w:top w:val="single" w:sz="4" w:space="0" w:color="0F243E"/>
              <w:left w:val="single" w:sz="4" w:space="0" w:color="0F243E"/>
              <w:bottom w:val="double" w:sz="6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5D6688" w:rsidRPr="00305580" w:rsidRDefault="005D6688" w:rsidP="006C3FC8">
            <w:pPr>
              <w:spacing w:before="240"/>
              <w:ind w:firstLine="52"/>
              <w:rPr>
                <w:rFonts w:cs="Calibri"/>
                <w:bCs/>
                <w:sz w:val="14"/>
                <w:szCs w:val="14"/>
                <w:lang w:val="ka-GE"/>
              </w:rPr>
            </w:pPr>
            <w:r w:rsidRPr="00305580">
              <w:rPr>
                <w:rFonts w:ascii="Sylfaen" w:hAnsi="Sylfaen" w:cs="Sylfaen"/>
                <w:bCs/>
                <w:sz w:val="14"/>
                <w:szCs w:val="14"/>
                <w:lang w:val="ka-GE"/>
              </w:rPr>
              <w:t>დაზუსტებული</w:t>
            </w:r>
            <w:r w:rsidRPr="00305580">
              <w:rPr>
                <w:rFonts w:cs="Calibri"/>
                <w:bCs/>
                <w:sz w:val="14"/>
                <w:szCs w:val="14"/>
                <w:lang w:val="ka-GE"/>
              </w:rPr>
              <w:t xml:space="preserve"> </w:t>
            </w:r>
            <w:r w:rsidRPr="00305580">
              <w:rPr>
                <w:rFonts w:ascii="Sylfaen" w:hAnsi="Sylfaen" w:cs="Sylfaen"/>
                <w:bCs/>
                <w:sz w:val="14"/>
                <w:szCs w:val="14"/>
                <w:lang w:val="ka-GE"/>
              </w:rPr>
              <w:t>გეგმა</w:t>
            </w:r>
          </w:p>
        </w:tc>
        <w:tc>
          <w:tcPr>
            <w:tcW w:w="992" w:type="dxa"/>
            <w:tcBorders>
              <w:top w:val="single" w:sz="4" w:space="0" w:color="16365C"/>
              <w:left w:val="single" w:sz="4" w:space="0" w:color="16365C"/>
              <w:bottom w:val="double" w:sz="6" w:space="0" w:color="16365C"/>
              <w:right w:val="single" w:sz="4" w:space="0" w:color="0F243E"/>
            </w:tcBorders>
            <w:shd w:val="clear" w:color="000000" w:fill="DDD9C4"/>
          </w:tcPr>
          <w:p w:rsidR="005D6688" w:rsidRPr="00305580" w:rsidRDefault="005D6688" w:rsidP="006C3FC8">
            <w:pPr>
              <w:spacing w:before="240"/>
              <w:ind w:hanging="108"/>
              <w:rPr>
                <w:rFonts w:cs="Calibri"/>
                <w:bCs/>
                <w:sz w:val="14"/>
                <w:szCs w:val="14"/>
                <w:lang w:val="ka-GE"/>
              </w:rPr>
            </w:pPr>
            <w:r w:rsidRPr="00305580">
              <w:rPr>
                <w:rFonts w:ascii="Sylfaen" w:hAnsi="Sylfaen" w:cs="Sylfaen"/>
                <w:bCs/>
                <w:sz w:val="14"/>
                <w:szCs w:val="14"/>
                <w:lang w:val="ka-GE"/>
              </w:rPr>
              <w:t xml:space="preserve">დამტკიცებული </w:t>
            </w:r>
            <w:r w:rsidRPr="00305580">
              <w:rPr>
                <w:rFonts w:cs="Calibri"/>
                <w:bCs/>
                <w:sz w:val="14"/>
                <w:szCs w:val="14"/>
                <w:lang w:val="ka-GE"/>
              </w:rPr>
              <w:t xml:space="preserve"> </w:t>
            </w:r>
            <w:r w:rsidRPr="00305580">
              <w:rPr>
                <w:rFonts w:ascii="Sylfaen" w:hAnsi="Sylfaen" w:cs="Sylfaen"/>
                <w:bCs/>
                <w:sz w:val="14"/>
                <w:szCs w:val="14"/>
                <w:lang w:val="ka-GE"/>
              </w:rPr>
              <w:t>გეგმა</w:t>
            </w:r>
          </w:p>
        </w:tc>
        <w:tc>
          <w:tcPr>
            <w:tcW w:w="992" w:type="dxa"/>
            <w:tcBorders>
              <w:top w:val="single" w:sz="4" w:space="0" w:color="16365C"/>
              <w:left w:val="single" w:sz="4" w:space="0" w:color="0F243E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</w:tcPr>
          <w:p w:rsidR="005D6688" w:rsidRPr="00305580" w:rsidRDefault="005D6688" w:rsidP="006C3FC8">
            <w:pPr>
              <w:spacing w:before="240"/>
              <w:ind w:hanging="108"/>
              <w:rPr>
                <w:rFonts w:cs="Calibri"/>
                <w:bCs/>
                <w:sz w:val="14"/>
                <w:szCs w:val="14"/>
                <w:lang w:val="ka-GE"/>
              </w:rPr>
            </w:pPr>
            <w:r w:rsidRPr="00305580">
              <w:rPr>
                <w:rFonts w:ascii="Sylfaen" w:hAnsi="Sylfaen" w:cs="Sylfaen"/>
                <w:bCs/>
                <w:sz w:val="14"/>
                <w:szCs w:val="14"/>
                <w:lang w:val="ka-GE"/>
              </w:rPr>
              <w:t>დაზუსტებული</w:t>
            </w:r>
            <w:r w:rsidRPr="00305580">
              <w:rPr>
                <w:rFonts w:cs="Calibri"/>
                <w:bCs/>
                <w:sz w:val="14"/>
                <w:szCs w:val="14"/>
                <w:lang w:val="ka-GE"/>
              </w:rPr>
              <w:t xml:space="preserve"> </w:t>
            </w:r>
            <w:r w:rsidRPr="00305580">
              <w:rPr>
                <w:rFonts w:ascii="Sylfaen" w:hAnsi="Sylfaen" w:cs="Sylfaen"/>
                <w:bCs/>
                <w:sz w:val="14"/>
                <w:szCs w:val="14"/>
                <w:lang w:val="ka-GE"/>
              </w:rPr>
              <w:t>გეგმა</w:t>
            </w:r>
          </w:p>
        </w:tc>
        <w:tc>
          <w:tcPr>
            <w:tcW w:w="851" w:type="dxa"/>
            <w:vMerge/>
            <w:tcBorders>
              <w:left w:val="single" w:sz="4" w:space="0" w:color="0F243E"/>
              <w:bottom w:val="double" w:sz="6" w:space="0" w:color="16365C"/>
            </w:tcBorders>
            <w:shd w:val="clear" w:color="000000" w:fill="DDD9C4"/>
            <w:vAlign w:val="center"/>
          </w:tcPr>
          <w:p w:rsidR="005D6688" w:rsidRPr="00305580" w:rsidRDefault="005D6688" w:rsidP="006C3FC8">
            <w:pPr>
              <w:spacing w:before="240"/>
              <w:ind w:right="-108" w:firstLine="13"/>
              <w:rPr>
                <w:rFonts w:ascii="Sylfaen" w:hAnsi="Sylfaen" w:cs="Sylfaen"/>
                <w:bCs/>
                <w:sz w:val="14"/>
                <w:szCs w:val="14"/>
                <w:lang w:val="ka-GE"/>
              </w:rPr>
            </w:pPr>
          </w:p>
        </w:tc>
        <w:tc>
          <w:tcPr>
            <w:tcW w:w="708" w:type="dxa"/>
            <w:vMerge/>
            <w:tcBorders>
              <w:left w:val="single" w:sz="4" w:space="0" w:color="0F243E"/>
              <w:bottom w:val="double" w:sz="6" w:space="0" w:color="16365C"/>
            </w:tcBorders>
            <w:shd w:val="clear" w:color="000000" w:fill="DDD9C4"/>
            <w:vAlign w:val="center"/>
          </w:tcPr>
          <w:p w:rsidR="005D6688" w:rsidRPr="00305580" w:rsidRDefault="005D6688" w:rsidP="006C3FC8">
            <w:pPr>
              <w:spacing w:before="240"/>
              <w:ind w:firstLine="52"/>
              <w:rPr>
                <w:rFonts w:ascii="Sylfaen" w:hAnsi="Sylfaen" w:cs="Sylfaen"/>
                <w:bCs/>
                <w:sz w:val="14"/>
                <w:szCs w:val="14"/>
                <w:lang w:val="ka-GE"/>
              </w:rPr>
            </w:pPr>
          </w:p>
        </w:tc>
      </w:tr>
      <w:tr w:rsidR="005D6688" w:rsidRPr="00305580" w:rsidTr="00CF7108">
        <w:trPr>
          <w:trHeight w:val="747"/>
        </w:trPr>
        <w:tc>
          <w:tcPr>
            <w:tcW w:w="1291" w:type="dxa"/>
            <w:vMerge w:val="restart"/>
            <w:tcBorders>
              <w:top w:val="double" w:sz="6" w:space="0" w:color="16365C"/>
              <w:right w:val="single" w:sz="4" w:space="0" w:color="0F243E"/>
            </w:tcBorders>
            <w:shd w:val="clear" w:color="auto" w:fill="auto"/>
            <w:vAlign w:val="center"/>
          </w:tcPr>
          <w:p w:rsidR="005D6688" w:rsidRPr="00305580" w:rsidRDefault="005D6688" w:rsidP="006C3FC8">
            <w:pPr>
              <w:spacing w:before="240"/>
              <w:rPr>
                <w:sz w:val="16"/>
                <w:szCs w:val="16"/>
              </w:rPr>
            </w:pPr>
            <w:r w:rsidRPr="00305580">
              <w:rPr>
                <w:sz w:val="16"/>
                <w:szCs w:val="16"/>
              </w:rPr>
              <w:t>35 03 03 05</w:t>
            </w:r>
          </w:p>
        </w:tc>
        <w:tc>
          <w:tcPr>
            <w:tcW w:w="2268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</w:tcPr>
          <w:p w:rsidR="005D6688" w:rsidRPr="00305580" w:rsidRDefault="005D6688" w:rsidP="006C3FC8">
            <w:pPr>
              <w:spacing w:before="240"/>
              <w:ind w:left="-108" w:right="-14"/>
              <w:rPr>
                <w:rFonts w:ascii="Sylfaen" w:hAnsi="Sylfaen"/>
                <w:sz w:val="16"/>
                <w:szCs w:val="16"/>
                <w:lang w:val="ka-GE"/>
              </w:rPr>
            </w:pPr>
            <w:r w:rsidRPr="00305580">
              <w:rPr>
                <w:rFonts w:ascii="Sylfaen" w:hAnsi="Sylfaen" w:cs="Sylfaen"/>
                <w:bCs/>
                <w:sz w:val="16"/>
                <w:szCs w:val="16"/>
                <w:lang w:val="ka-GE"/>
              </w:rPr>
              <w:t>ინკურაბელურ პაციენტთა პალიატიური მზრუნველობა</w:t>
            </w:r>
          </w:p>
        </w:tc>
        <w:tc>
          <w:tcPr>
            <w:tcW w:w="992" w:type="dxa"/>
            <w:tcBorders>
              <w:top w:val="double" w:sz="6" w:space="0" w:color="16365C"/>
              <w:left w:val="single" w:sz="4" w:space="0" w:color="16365C"/>
              <w:bottom w:val="double" w:sz="6" w:space="0" w:color="16365C"/>
              <w:right w:val="single" w:sz="4" w:space="0" w:color="16365C"/>
            </w:tcBorders>
            <w:shd w:val="clear" w:color="000000" w:fill="FFFFFF"/>
            <w:vAlign w:val="center"/>
          </w:tcPr>
          <w:p w:rsidR="005D6688" w:rsidRPr="00305580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305580">
              <w:rPr>
                <w:sz w:val="16"/>
                <w:szCs w:val="16"/>
              </w:rPr>
              <w:t>3 100,0</w:t>
            </w:r>
          </w:p>
        </w:tc>
        <w:tc>
          <w:tcPr>
            <w:tcW w:w="993" w:type="dxa"/>
            <w:tcBorders>
              <w:top w:val="double" w:sz="6" w:space="0" w:color="16365C"/>
              <w:left w:val="single" w:sz="4" w:space="0" w:color="16365C"/>
              <w:bottom w:val="double" w:sz="6" w:space="0" w:color="16365C"/>
              <w:right w:val="single" w:sz="4" w:space="0" w:color="16365C"/>
            </w:tcBorders>
            <w:shd w:val="clear" w:color="000000" w:fill="FFFFFF"/>
            <w:vAlign w:val="center"/>
          </w:tcPr>
          <w:p w:rsidR="005D6688" w:rsidRPr="00305580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305580">
              <w:rPr>
                <w:sz w:val="16"/>
                <w:szCs w:val="16"/>
              </w:rPr>
              <w:t>3 100,0</w:t>
            </w:r>
          </w:p>
        </w:tc>
        <w:tc>
          <w:tcPr>
            <w:tcW w:w="992" w:type="dxa"/>
            <w:tcBorders>
              <w:top w:val="double" w:sz="6" w:space="0" w:color="16365C"/>
              <w:left w:val="single" w:sz="4" w:space="0" w:color="16365C"/>
              <w:bottom w:val="double" w:sz="6" w:space="0" w:color="16365C"/>
              <w:right w:val="single" w:sz="4" w:space="0" w:color="16365C"/>
            </w:tcBorders>
            <w:shd w:val="clear" w:color="000000" w:fill="DDD9C4"/>
            <w:vAlign w:val="center"/>
          </w:tcPr>
          <w:p w:rsidR="005D6688" w:rsidRPr="00305580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305580">
              <w:rPr>
                <w:sz w:val="16"/>
                <w:szCs w:val="16"/>
              </w:rPr>
              <w:t>1 793,0</w:t>
            </w:r>
          </w:p>
        </w:tc>
        <w:tc>
          <w:tcPr>
            <w:tcW w:w="992" w:type="dxa"/>
            <w:tcBorders>
              <w:top w:val="double" w:sz="6" w:space="0" w:color="16365C"/>
              <w:left w:val="single" w:sz="4" w:space="0" w:color="16365C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</w:tcPr>
          <w:p w:rsidR="005D6688" w:rsidRPr="00305580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305580">
              <w:rPr>
                <w:sz w:val="16"/>
                <w:szCs w:val="16"/>
              </w:rPr>
              <w:t>1 619,0</w:t>
            </w:r>
          </w:p>
        </w:tc>
        <w:tc>
          <w:tcPr>
            <w:tcW w:w="851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</w:tcPr>
          <w:p w:rsidR="005D6688" w:rsidRPr="00305580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305580">
              <w:rPr>
                <w:sz w:val="16"/>
                <w:szCs w:val="16"/>
              </w:rPr>
              <w:t>1 14</w:t>
            </w:r>
            <w:r w:rsidRPr="00B20969">
              <w:rPr>
                <w:sz w:val="16"/>
                <w:szCs w:val="16"/>
              </w:rPr>
              <w:t>0</w:t>
            </w:r>
            <w:r w:rsidRPr="00305580">
              <w:rPr>
                <w:sz w:val="16"/>
                <w:szCs w:val="16"/>
              </w:rPr>
              <w:t>,6</w:t>
            </w:r>
          </w:p>
        </w:tc>
        <w:tc>
          <w:tcPr>
            <w:tcW w:w="708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</w:tcPr>
          <w:p w:rsidR="005D6688" w:rsidRPr="00305580" w:rsidRDefault="005D6688" w:rsidP="006C3FC8">
            <w:pPr>
              <w:spacing w:before="240"/>
              <w:rPr>
                <w:sz w:val="16"/>
                <w:szCs w:val="16"/>
              </w:rPr>
            </w:pPr>
            <w:r w:rsidRPr="00305580">
              <w:rPr>
                <w:sz w:val="16"/>
                <w:szCs w:val="16"/>
              </w:rPr>
              <w:t>70,8</w:t>
            </w:r>
          </w:p>
        </w:tc>
      </w:tr>
      <w:tr w:rsidR="005D6688" w:rsidRPr="00305580" w:rsidTr="00CF7108">
        <w:trPr>
          <w:trHeight w:val="227"/>
        </w:trPr>
        <w:tc>
          <w:tcPr>
            <w:tcW w:w="1291" w:type="dxa"/>
            <w:vMerge/>
            <w:tcBorders>
              <w:right w:val="single" w:sz="4" w:space="0" w:color="0F243E"/>
            </w:tcBorders>
            <w:shd w:val="clear" w:color="auto" w:fill="auto"/>
            <w:vAlign w:val="center"/>
          </w:tcPr>
          <w:p w:rsidR="005D6688" w:rsidRPr="00305580" w:rsidRDefault="005D6688" w:rsidP="006C3FC8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16365C"/>
              <w:left w:val="single" w:sz="4" w:space="0" w:color="0F243E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D10F1D" w:rsidRDefault="005D6688" w:rsidP="006C3FC8">
            <w:pPr>
              <w:spacing w:before="240"/>
              <w:ind w:right="-14"/>
              <w:jc w:val="both"/>
              <w:rPr>
                <w:rFonts w:ascii="Sylfaen" w:hAnsi="Sylfaen" w:cs="Sylfaen"/>
                <w:bCs/>
                <w:sz w:val="14"/>
                <w:szCs w:val="14"/>
                <w:lang w:val="ka-GE"/>
              </w:rPr>
            </w:pPr>
            <w:r w:rsidRPr="00D10F1D">
              <w:rPr>
                <w:rFonts w:ascii="Sylfaen" w:hAnsi="Sylfaen" w:cs="Sylfaen"/>
                <w:bCs/>
                <w:sz w:val="14"/>
                <w:szCs w:val="14"/>
                <w:lang w:val="ka-GE"/>
              </w:rPr>
              <w:t>საქონელი და მომსახურება</w:t>
            </w:r>
          </w:p>
        </w:tc>
        <w:tc>
          <w:tcPr>
            <w:tcW w:w="992" w:type="dxa"/>
            <w:tcBorders>
              <w:top w:val="double" w:sz="6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286,0</w:t>
            </w:r>
          </w:p>
        </w:tc>
        <w:tc>
          <w:tcPr>
            <w:tcW w:w="993" w:type="dxa"/>
            <w:tcBorders>
              <w:top w:val="double" w:sz="6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288,5</w:t>
            </w:r>
          </w:p>
        </w:tc>
        <w:tc>
          <w:tcPr>
            <w:tcW w:w="992" w:type="dxa"/>
            <w:tcBorders>
              <w:top w:val="double" w:sz="6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double" w:sz="6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217,5</w:t>
            </w:r>
          </w:p>
        </w:tc>
        <w:tc>
          <w:tcPr>
            <w:tcW w:w="851" w:type="dxa"/>
            <w:tcBorders>
              <w:top w:val="double" w:sz="6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217,5</w:t>
            </w:r>
          </w:p>
        </w:tc>
        <w:tc>
          <w:tcPr>
            <w:tcW w:w="708" w:type="dxa"/>
            <w:tcBorders>
              <w:top w:val="double" w:sz="6" w:space="0" w:color="16365C"/>
              <w:left w:val="single" w:sz="4" w:space="0" w:color="auto"/>
              <w:bottom w:val="single" w:sz="4" w:space="0" w:color="auto"/>
            </w:tcBorders>
            <w:shd w:val="clear" w:color="000000" w:fill="DDD9C4"/>
            <w:vAlign w:val="center"/>
          </w:tcPr>
          <w:p w:rsidR="005D6688" w:rsidRPr="00A65745" w:rsidRDefault="005D6688" w:rsidP="006C3FC8">
            <w:pPr>
              <w:spacing w:before="240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100</w:t>
            </w:r>
          </w:p>
        </w:tc>
      </w:tr>
      <w:tr w:rsidR="005D6688" w:rsidRPr="00305580" w:rsidTr="00CF7108">
        <w:trPr>
          <w:trHeight w:val="227"/>
        </w:trPr>
        <w:tc>
          <w:tcPr>
            <w:tcW w:w="12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688" w:rsidRPr="00305580" w:rsidRDefault="005D6688" w:rsidP="006C3FC8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D10F1D" w:rsidRDefault="005D6688" w:rsidP="006C3FC8">
            <w:pPr>
              <w:spacing w:before="240"/>
              <w:ind w:right="-108"/>
              <w:jc w:val="both"/>
              <w:rPr>
                <w:rFonts w:ascii="Sylfaen" w:hAnsi="Sylfaen" w:cs="Sylfaen"/>
                <w:bCs/>
                <w:sz w:val="14"/>
                <w:szCs w:val="14"/>
                <w:lang w:val="ka-GE"/>
              </w:rPr>
            </w:pPr>
            <w:r w:rsidRPr="00D10F1D">
              <w:rPr>
                <w:rFonts w:ascii="Sylfaen" w:hAnsi="Sylfaen" w:cs="Sylfaen"/>
                <w:bCs/>
                <w:sz w:val="14"/>
                <w:szCs w:val="14"/>
                <w:lang w:val="ka-GE"/>
              </w:rPr>
              <w:t>სოციალური უზრუნველყოფა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A65745">
              <w:rPr>
                <w:sz w:val="16"/>
                <w:szCs w:val="16"/>
              </w:rPr>
              <w:t>814,0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A65745">
              <w:rPr>
                <w:sz w:val="16"/>
                <w:szCs w:val="16"/>
              </w:rPr>
              <w:t>571,11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A65745">
              <w:rPr>
                <w:sz w:val="16"/>
                <w:szCs w:val="16"/>
              </w:rPr>
              <w:t>578,0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A65745">
              <w:rPr>
                <w:sz w:val="16"/>
                <w:szCs w:val="16"/>
              </w:rPr>
              <w:t>161,11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682,7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D9C4"/>
            <w:vAlign w:val="center"/>
          </w:tcPr>
          <w:p w:rsidR="005D6688" w:rsidRPr="00A65745" w:rsidRDefault="005D6688" w:rsidP="006C3FC8">
            <w:pPr>
              <w:spacing w:before="240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58,8</w:t>
            </w:r>
          </w:p>
        </w:tc>
      </w:tr>
      <w:tr w:rsidR="005D6688" w:rsidRPr="00305580" w:rsidTr="00CF7108">
        <w:trPr>
          <w:trHeight w:val="227"/>
        </w:trPr>
        <w:tc>
          <w:tcPr>
            <w:tcW w:w="12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688" w:rsidRPr="00305580" w:rsidRDefault="005D6688" w:rsidP="006C3FC8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D10F1D" w:rsidRDefault="005D6688" w:rsidP="006C3FC8">
            <w:pPr>
              <w:spacing w:before="240"/>
              <w:ind w:left="34" w:right="-108"/>
              <w:rPr>
                <w:rFonts w:ascii="Sylfaen" w:hAnsi="Sylfaen" w:cs="Sylfaen"/>
                <w:bCs/>
                <w:sz w:val="14"/>
                <w:szCs w:val="14"/>
                <w:lang w:val="ka-GE"/>
              </w:rPr>
            </w:pPr>
            <w:r w:rsidRPr="00D10F1D">
              <w:rPr>
                <w:rFonts w:ascii="Sylfaen" w:hAnsi="Sylfaen" w:cs="Sylfaen"/>
                <w:bCs/>
                <w:sz w:val="14"/>
                <w:szCs w:val="14"/>
                <w:lang w:val="ka-GE"/>
              </w:rPr>
              <w:t>სხვა ხარჯები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155,87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155,87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155,86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D9C4"/>
            <w:vAlign w:val="center"/>
          </w:tcPr>
          <w:p w:rsidR="005D6688" w:rsidRPr="00A65745" w:rsidRDefault="005D6688" w:rsidP="006C3FC8">
            <w:pPr>
              <w:spacing w:before="240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99,9</w:t>
            </w:r>
          </w:p>
        </w:tc>
      </w:tr>
      <w:tr w:rsidR="005D6688" w:rsidRPr="00305580" w:rsidTr="00CF7108">
        <w:trPr>
          <w:trHeight w:val="227"/>
        </w:trPr>
        <w:tc>
          <w:tcPr>
            <w:tcW w:w="12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688" w:rsidRPr="00305580" w:rsidRDefault="005D6688" w:rsidP="006C3FC8">
            <w:pPr>
              <w:spacing w:before="24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D10F1D" w:rsidRDefault="005D6688" w:rsidP="006C3FC8">
            <w:pPr>
              <w:spacing w:before="240"/>
              <w:ind w:left="34" w:right="-108"/>
              <w:rPr>
                <w:rFonts w:ascii="Sylfaen" w:hAnsi="Sylfaen" w:cs="Sylfaen"/>
                <w:bCs/>
                <w:sz w:val="14"/>
                <w:szCs w:val="14"/>
                <w:lang w:val="ka-GE"/>
              </w:rPr>
            </w:pPr>
            <w:r w:rsidRPr="00D10F1D">
              <w:rPr>
                <w:rFonts w:ascii="Sylfaen" w:hAnsi="Sylfaen" w:cs="Sylfaen"/>
                <w:bCs/>
                <w:sz w:val="14"/>
                <w:szCs w:val="14"/>
                <w:lang w:val="ka-GE"/>
              </w:rPr>
              <w:t>ვალდებულებების კლება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84,52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84,52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84,52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000000" w:fill="DDD9C4"/>
            <w:vAlign w:val="center"/>
          </w:tcPr>
          <w:p w:rsidR="005D6688" w:rsidRPr="00A65745" w:rsidRDefault="005D6688" w:rsidP="006C3FC8">
            <w:pPr>
              <w:spacing w:before="240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100</w:t>
            </w:r>
          </w:p>
        </w:tc>
      </w:tr>
    </w:tbl>
    <w:p w:rsidR="005D6688" w:rsidRPr="003529B4" w:rsidRDefault="005D6688" w:rsidP="006C3FC8">
      <w:pPr>
        <w:spacing w:before="240"/>
        <w:jc w:val="both"/>
        <w:rPr>
          <w:rFonts w:ascii="Sylfaen" w:hAnsi="Sylfaen"/>
          <w:lang w:val="ka-GE"/>
        </w:rPr>
      </w:pPr>
    </w:p>
    <w:p w:rsidR="005D6688" w:rsidRPr="003D280D" w:rsidRDefault="005D6688" w:rsidP="003D2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/>
        <w:jc w:val="both"/>
        <w:rPr>
          <w:rFonts w:ascii="Sylfaen" w:hAnsi="Sylfaen"/>
          <w:sz w:val="24"/>
          <w:szCs w:val="24"/>
          <w:lang w:val="ka-GE"/>
        </w:rPr>
      </w:pPr>
      <w:r w:rsidRPr="003529B4">
        <w:rPr>
          <w:rFonts w:ascii="Sylfaen" w:eastAsia="Sylfaen" w:hAnsi="Sylfaen"/>
          <w:lang w:val="ka-GE"/>
        </w:rPr>
        <w:tab/>
      </w:r>
      <w:r w:rsidRPr="003D280D">
        <w:rPr>
          <w:rFonts w:ascii="Sylfaen" w:eastAsia="Sylfaen" w:hAnsi="Sylfaen"/>
          <w:sz w:val="24"/>
          <w:szCs w:val="24"/>
          <w:lang w:val="ka-GE"/>
        </w:rPr>
        <w:t>„2016 წლის ჯანმრთელობის დაცვის სახელმწიფო პროგრამების დამტკიცების შესახებ“ საქართველოს მთავრობის 2015 წლის 30 დეკემბრის  №660 დადგენილების შესაბამისად</w:t>
      </w:r>
      <w:r w:rsidR="002F4EC1" w:rsidRPr="003D280D">
        <w:rPr>
          <w:rFonts w:ascii="Sylfaen" w:eastAsia="Sylfaen" w:hAnsi="Sylfaen"/>
          <w:sz w:val="24"/>
          <w:szCs w:val="24"/>
          <w:lang w:val="ka-GE"/>
        </w:rPr>
        <w:t>,</w:t>
      </w:r>
      <w:r w:rsidRPr="003D280D">
        <w:rPr>
          <w:rFonts w:ascii="Sylfaen" w:eastAsia="Sylfaen" w:hAnsi="Sylfaen"/>
          <w:sz w:val="24"/>
          <w:szCs w:val="24"/>
          <w:lang w:val="ka-GE"/>
        </w:rPr>
        <w:t xml:space="preserve"> პროგრამა </w:t>
      </w:r>
      <w:r w:rsidRPr="003D280D">
        <w:rPr>
          <w:rFonts w:ascii="Sylfaen" w:hAnsi="Sylfaen"/>
          <w:sz w:val="24"/>
          <w:szCs w:val="24"/>
          <w:lang w:val="ka-GE"/>
        </w:rPr>
        <w:t>შედგება 3 კომპონენტისაგან. კომპონენტების დონეზე წლიური ბიუჯეტი 9 თვის განმავლობაში დაზუსტდა და შეადგინა:</w:t>
      </w:r>
    </w:p>
    <w:p w:rsidR="005D6688" w:rsidRPr="003529B4" w:rsidRDefault="005D6688" w:rsidP="006C3F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0" w:lineRule="atLeast"/>
        <w:jc w:val="both"/>
        <w:rPr>
          <w:rFonts w:ascii="Sylfaen" w:hAnsi="Sylfaen"/>
          <w:sz w:val="16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 w:rsidRPr="003529B4">
        <w:rPr>
          <w:rFonts w:ascii="Sylfaen" w:hAnsi="Sylfaen"/>
          <w:sz w:val="16"/>
          <w:szCs w:val="24"/>
          <w:lang w:val="ka-GE"/>
        </w:rPr>
        <w:t>(ათასი ლარი)</w:t>
      </w:r>
    </w:p>
    <w:tbl>
      <w:tblPr>
        <w:tblStyle w:val="TableGridLight1"/>
        <w:tblW w:w="4855" w:type="pct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981"/>
        <w:gridCol w:w="1348"/>
        <w:gridCol w:w="1348"/>
        <w:gridCol w:w="1348"/>
        <w:gridCol w:w="1348"/>
      </w:tblGrid>
      <w:tr w:rsidR="005D6688" w:rsidRPr="00923266" w:rsidTr="00CF7108">
        <w:trPr>
          <w:trHeight w:val="1200"/>
        </w:trPr>
        <w:tc>
          <w:tcPr>
            <w:tcW w:w="127" w:type="pct"/>
            <w:shd w:val="clear" w:color="auto" w:fill="C6D9F1" w:themeFill="text2" w:themeFillTint="33"/>
            <w:vAlign w:val="center"/>
            <w:hideMark/>
          </w:tcPr>
          <w:p w:rsidR="005D6688" w:rsidRPr="00923266" w:rsidRDefault="005D6688" w:rsidP="006C3FC8">
            <w:pPr>
              <w:spacing w:before="240" w:after="100" w:afterAutospacing="1"/>
              <w:rPr>
                <w:rFonts w:ascii="Sylfaen" w:hAnsi="Sylfaen"/>
                <w:sz w:val="16"/>
                <w:szCs w:val="16"/>
                <w:lang w:val="ka-GE"/>
              </w:rPr>
            </w:pPr>
            <w:r w:rsidRPr="00923266">
              <w:rPr>
                <w:rFonts w:ascii="Sylfaen" w:hAnsi="Sylfaen"/>
                <w:bCs/>
                <w:sz w:val="16"/>
                <w:szCs w:val="16"/>
                <w:lang w:val="ka-GE"/>
              </w:rPr>
              <w:t>N</w:t>
            </w:r>
          </w:p>
        </w:tc>
        <w:tc>
          <w:tcPr>
            <w:tcW w:w="2069" w:type="pct"/>
            <w:shd w:val="clear" w:color="auto" w:fill="C6D9F1" w:themeFill="text2" w:themeFillTint="33"/>
            <w:vAlign w:val="center"/>
            <w:hideMark/>
          </w:tcPr>
          <w:p w:rsidR="005D6688" w:rsidRPr="00923266" w:rsidRDefault="005D6688" w:rsidP="006C3FC8">
            <w:pPr>
              <w:spacing w:before="240" w:after="100" w:afterAutospacing="1"/>
              <w:rPr>
                <w:rFonts w:ascii="Sylfaen" w:hAnsi="Sylfaen"/>
                <w:sz w:val="16"/>
                <w:szCs w:val="16"/>
                <w:lang w:val="ka-GE"/>
              </w:rPr>
            </w:pPr>
            <w:r w:rsidRPr="00923266">
              <w:rPr>
                <w:rFonts w:ascii="Sylfaen" w:hAnsi="Sylfaen"/>
                <w:bCs/>
                <w:sz w:val="16"/>
                <w:szCs w:val="16"/>
                <w:lang w:val="ka-GE"/>
              </w:rPr>
              <w:t>კომპონენტის დასახელება</w:t>
            </w:r>
          </w:p>
        </w:tc>
        <w:tc>
          <w:tcPr>
            <w:tcW w:w="701" w:type="pct"/>
            <w:shd w:val="clear" w:color="auto" w:fill="C6D9F1" w:themeFill="text2" w:themeFillTint="33"/>
            <w:vAlign w:val="center"/>
          </w:tcPr>
          <w:p w:rsidR="005D6688" w:rsidRPr="00923266" w:rsidRDefault="005D6688" w:rsidP="006C3FC8">
            <w:pPr>
              <w:spacing w:before="240" w:after="100" w:afterAutospacing="1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923266">
              <w:rPr>
                <w:rFonts w:ascii="Sylfaen" w:hAnsi="Sylfaen"/>
                <w:bCs/>
                <w:sz w:val="16"/>
                <w:szCs w:val="16"/>
                <w:lang w:val="ka-GE"/>
              </w:rPr>
              <w:t>დამტკიცებული</w:t>
            </w:r>
            <w:r>
              <w:rPr>
                <w:rFonts w:ascii="Sylfaen" w:hAnsi="Sylfaen"/>
                <w:bCs/>
                <w:sz w:val="16"/>
                <w:szCs w:val="16"/>
                <w:lang w:val="ka-GE"/>
              </w:rPr>
              <w:t xml:space="preserve"> წლიური </w:t>
            </w:r>
            <w:r w:rsidRPr="00923266">
              <w:rPr>
                <w:rFonts w:ascii="Sylfaen" w:hAnsi="Sylfaen"/>
                <w:bCs/>
                <w:sz w:val="16"/>
                <w:szCs w:val="16"/>
                <w:lang w:val="ka-GE"/>
              </w:rPr>
              <w:t xml:space="preserve"> ბიუჯეტი</w:t>
            </w:r>
          </w:p>
        </w:tc>
        <w:tc>
          <w:tcPr>
            <w:tcW w:w="701" w:type="pct"/>
            <w:shd w:val="clear" w:color="auto" w:fill="C6D9F1" w:themeFill="text2" w:themeFillTint="33"/>
            <w:vAlign w:val="center"/>
          </w:tcPr>
          <w:p w:rsidR="005D6688" w:rsidRPr="00923266" w:rsidRDefault="005D6688" w:rsidP="006C3FC8">
            <w:pPr>
              <w:spacing w:before="240" w:after="100" w:afterAutospacing="1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ka-GE"/>
              </w:rPr>
              <w:t>დაზუსტე</w:t>
            </w:r>
            <w:r w:rsidRPr="00923266">
              <w:rPr>
                <w:rFonts w:ascii="Sylfaen" w:hAnsi="Sylfaen"/>
                <w:bCs/>
                <w:sz w:val="16"/>
                <w:szCs w:val="16"/>
                <w:lang w:val="ka-GE"/>
              </w:rPr>
              <w:t xml:space="preserve">ბული </w:t>
            </w:r>
            <w:r>
              <w:rPr>
                <w:rFonts w:ascii="Sylfaen" w:hAnsi="Sylfaen"/>
                <w:bCs/>
                <w:sz w:val="16"/>
                <w:szCs w:val="16"/>
                <w:lang w:val="ka-GE"/>
              </w:rPr>
              <w:t xml:space="preserve">წლიური </w:t>
            </w:r>
            <w:r w:rsidRPr="00923266">
              <w:rPr>
                <w:rFonts w:ascii="Sylfaen" w:hAnsi="Sylfaen"/>
                <w:bCs/>
                <w:sz w:val="16"/>
                <w:szCs w:val="16"/>
                <w:lang w:val="ka-GE"/>
              </w:rPr>
              <w:t>ბიუჯეტი</w:t>
            </w:r>
          </w:p>
        </w:tc>
        <w:tc>
          <w:tcPr>
            <w:tcW w:w="701" w:type="pct"/>
            <w:shd w:val="clear" w:color="auto" w:fill="C6D9F1" w:themeFill="text2" w:themeFillTint="33"/>
            <w:vAlign w:val="center"/>
          </w:tcPr>
          <w:p w:rsidR="005D6688" w:rsidRPr="00923266" w:rsidRDefault="005D6688" w:rsidP="006C3FC8">
            <w:pPr>
              <w:spacing w:before="240" w:after="100" w:afterAutospacing="1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ka-GE"/>
              </w:rPr>
              <w:t>9 თვის</w:t>
            </w:r>
            <w:r w:rsidRPr="00923266">
              <w:rPr>
                <w:rFonts w:ascii="Sylfaen" w:hAnsi="Sylfaen"/>
                <w:bCs/>
                <w:sz w:val="16"/>
                <w:szCs w:val="16"/>
                <w:lang w:val="ka-GE"/>
              </w:rPr>
              <w:t xml:space="preserve"> ფაქტობრივი ხარჯი</w:t>
            </w:r>
          </w:p>
        </w:tc>
        <w:tc>
          <w:tcPr>
            <w:tcW w:w="701" w:type="pct"/>
            <w:shd w:val="clear" w:color="auto" w:fill="C6D9F1" w:themeFill="text2" w:themeFillTint="33"/>
            <w:vAlign w:val="center"/>
          </w:tcPr>
          <w:p w:rsidR="005D6688" w:rsidRPr="00923266" w:rsidRDefault="005D6688" w:rsidP="006C3FC8">
            <w:pPr>
              <w:spacing w:before="240" w:after="100" w:afterAutospacing="1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ka-GE"/>
              </w:rPr>
              <w:t xml:space="preserve">9 თვის </w:t>
            </w:r>
            <w:r w:rsidRPr="00923266">
              <w:rPr>
                <w:rFonts w:ascii="Sylfaen" w:hAnsi="Sylfaen"/>
                <w:bCs/>
                <w:sz w:val="16"/>
                <w:szCs w:val="16"/>
                <w:lang w:val="ka-GE"/>
              </w:rPr>
              <w:t xml:space="preserve"> საკასო ხარჯი</w:t>
            </w:r>
          </w:p>
        </w:tc>
      </w:tr>
      <w:tr w:rsidR="005D6688" w:rsidRPr="00923266" w:rsidTr="00CF7108">
        <w:tc>
          <w:tcPr>
            <w:tcW w:w="127" w:type="pct"/>
            <w:vAlign w:val="center"/>
            <w:hideMark/>
          </w:tcPr>
          <w:p w:rsidR="005D6688" w:rsidRPr="00923266" w:rsidRDefault="005D6688" w:rsidP="006C3FC8">
            <w:pPr>
              <w:spacing w:before="240" w:after="100" w:afterAutospacing="1"/>
              <w:rPr>
                <w:rFonts w:ascii="Sylfaen" w:hAnsi="Sylfaen"/>
                <w:sz w:val="16"/>
                <w:szCs w:val="16"/>
                <w:lang w:val="ka-GE"/>
              </w:rPr>
            </w:pPr>
            <w:r w:rsidRPr="00923266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2069" w:type="pct"/>
            <w:vAlign w:val="center"/>
          </w:tcPr>
          <w:p w:rsidR="005D6688" w:rsidRPr="005346BB" w:rsidRDefault="005D6688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rPr>
                <w:sz w:val="16"/>
                <w:szCs w:val="16"/>
                <w:lang w:val="ka-GE" w:eastAsia="x-none"/>
              </w:rPr>
            </w:pPr>
            <w:r w:rsidRPr="005346BB">
              <w:rPr>
                <w:rFonts w:ascii="Sylfaen" w:hAnsi="Sylfaen" w:cs="Sylfaen"/>
                <w:sz w:val="16"/>
                <w:szCs w:val="16"/>
                <w:lang w:val="ka-GE" w:eastAsia="x-none"/>
              </w:rPr>
              <w:t>ინკურაბელურ</w:t>
            </w:r>
            <w:r w:rsidRPr="005346BB">
              <w:rPr>
                <w:sz w:val="16"/>
                <w:szCs w:val="16"/>
                <w:lang w:val="ka-GE" w:eastAsia="x-none"/>
              </w:rPr>
              <w:t xml:space="preserve"> </w:t>
            </w:r>
            <w:r w:rsidRPr="005346BB">
              <w:rPr>
                <w:rFonts w:ascii="Sylfaen" w:hAnsi="Sylfaen" w:cs="Sylfaen"/>
                <w:sz w:val="16"/>
                <w:szCs w:val="16"/>
                <w:lang w:val="ka-GE" w:eastAsia="x-none"/>
              </w:rPr>
              <w:t>პაციენტთა</w:t>
            </w:r>
            <w:r w:rsidRPr="005346BB">
              <w:rPr>
                <w:sz w:val="16"/>
                <w:szCs w:val="16"/>
                <w:lang w:val="ka-GE" w:eastAsia="x-none"/>
              </w:rPr>
              <w:t xml:space="preserve"> </w:t>
            </w:r>
            <w:r w:rsidRPr="005346BB">
              <w:rPr>
                <w:rFonts w:ascii="Sylfaen" w:hAnsi="Sylfaen" w:cs="Sylfaen"/>
                <w:sz w:val="16"/>
                <w:szCs w:val="16"/>
                <w:lang w:val="ka-GE" w:eastAsia="x-none"/>
              </w:rPr>
              <w:t>ამბულატორიული</w:t>
            </w:r>
            <w:r w:rsidRPr="005346BB">
              <w:rPr>
                <w:sz w:val="16"/>
                <w:szCs w:val="16"/>
                <w:lang w:val="ka-GE" w:eastAsia="x-none"/>
              </w:rPr>
              <w:t xml:space="preserve"> </w:t>
            </w:r>
            <w:r w:rsidRPr="005346BB">
              <w:rPr>
                <w:rFonts w:ascii="Sylfaen" w:hAnsi="Sylfaen" w:cs="Sylfaen"/>
                <w:sz w:val="16"/>
                <w:szCs w:val="16"/>
                <w:lang w:val="ka-GE" w:eastAsia="x-none"/>
              </w:rPr>
              <w:t>პალიატიური</w:t>
            </w:r>
            <w:r w:rsidRPr="005346BB">
              <w:rPr>
                <w:sz w:val="16"/>
                <w:szCs w:val="16"/>
                <w:lang w:val="ka-GE" w:eastAsia="x-none"/>
              </w:rPr>
              <w:t xml:space="preserve"> </w:t>
            </w:r>
            <w:r w:rsidRPr="005346BB">
              <w:rPr>
                <w:rFonts w:ascii="Sylfaen" w:hAnsi="Sylfaen" w:cs="Sylfaen"/>
                <w:sz w:val="16"/>
                <w:szCs w:val="16"/>
                <w:lang w:val="ka-GE" w:eastAsia="x-none"/>
              </w:rPr>
              <w:t>მზრუნველობა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A65F0F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A65F0F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12</w:t>
            </w:r>
            <w:r w:rsidRPr="00A65F0F">
              <w:rPr>
                <w:sz w:val="16"/>
                <w:szCs w:val="16"/>
              </w:rPr>
              <w:t>,0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A65F0F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F0F">
              <w:rPr>
                <w:sz w:val="16"/>
                <w:szCs w:val="16"/>
              </w:rPr>
              <w:t>1 512,0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5346BB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5346BB">
              <w:rPr>
                <w:sz w:val="16"/>
                <w:szCs w:val="16"/>
              </w:rPr>
              <w:t>152,8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A65F0F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F0F">
              <w:rPr>
                <w:sz w:val="16"/>
                <w:szCs w:val="16"/>
              </w:rPr>
              <w:t>392,3</w:t>
            </w:r>
          </w:p>
        </w:tc>
      </w:tr>
      <w:tr w:rsidR="005D6688" w:rsidRPr="00923266" w:rsidTr="00CF7108">
        <w:tc>
          <w:tcPr>
            <w:tcW w:w="127" w:type="pct"/>
            <w:vAlign w:val="center"/>
          </w:tcPr>
          <w:p w:rsidR="005D6688" w:rsidRPr="00923266" w:rsidRDefault="005D6688" w:rsidP="006C3FC8">
            <w:pPr>
              <w:spacing w:before="240" w:after="100" w:afterAutospacing="1"/>
              <w:rPr>
                <w:rFonts w:ascii="Sylfaen" w:hAnsi="Sylfaen"/>
                <w:sz w:val="16"/>
                <w:szCs w:val="16"/>
                <w:lang w:val="ka-GE"/>
              </w:rPr>
            </w:pPr>
            <w:r w:rsidRPr="00923266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2069" w:type="pct"/>
            <w:vAlign w:val="center"/>
          </w:tcPr>
          <w:p w:rsidR="005D6688" w:rsidRPr="005346BB" w:rsidRDefault="005D6688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rPr>
                <w:rFonts w:ascii="Sylfaen" w:hAnsi="Sylfaen" w:cs="Sylfaen"/>
                <w:sz w:val="16"/>
                <w:szCs w:val="16"/>
                <w:lang w:val="ka-GE" w:eastAsia="x-none"/>
              </w:rPr>
            </w:pPr>
            <w:r w:rsidRPr="005346BB">
              <w:rPr>
                <w:rFonts w:ascii="Sylfaen" w:hAnsi="Sylfaen" w:cs="Sylfaen"/>
                <w:sz w:val="16"/>
                <w:szCs w:val="16"/>
                <w:lang w:val="ka-GE" w:eastAsia="x-none"/>
              </w:rPr>
              <w:t>ინკურაბელურ პაციენტთა სტაციონარული პალიატიური მზრუნველობა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F0F">
              <w:rPr>
                <w:sz w:val="16"/>
                <w:szCs w:val="16"/>
              </w:rPr>
              <w:t>3</w:t>
            </w:r>
            <w:r w:rsidRPr="00A65745">
              <w:rPr>
                <w:sz w:val="16"/>
                <w:szCs w:val="16"/>
              </w:rPr>
              <w:t>60</w:t>
            </w:r>
            <w:r w:rsidRPr="00A65F0F">
              <w:rPr>
                <w:sz w:val="16"/>
                <w:szCs w:val="16"/>
              </w:rPr>
              <w:t>,0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A65F0F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F0F">
              <w:rPr>
                <w:sz w:val="16"/>
                <w:szCs w:val="16"/>
              </w:rPr>
              <w:t>660,0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A65F0F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F0F">
              <w:rPr>
                <w:sz w:val="16"/>
                <w:szCs w:val="16"/>
              </w:rPr>
              <w:t>444,6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A65F0F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F0F">
              <w:rPr>
                <w:sz w:val="16"/>
                <w:szCs w:val="16"/>
              </w:rPr>
              <w:t>358,6</w:t>
            </w:r>
          </w:p>
        </w:tc>
      </w:tr>
      <w:tr w:rsidR="005D6688" w:rsidRPr="00923266" w:rsidTr="00CF7108">
        <w:tc>
          <w:tcPr>
            <w:tcW w:w="127" w:type="pct"/>
            <w:tcBorders>
              <w:bottom w:val="single" w:sz="4" w:space="0" w:color="auto"/>
            </w:tcBorders>
            <w:vAlign w:val="center"/>
          </w:tcPr>
          <w:p w:rsidR="005D6688" w:rsidRPr="00923266" w:rsidRDefault="005D6688" w:rsidP="006C3FC8">
            <w:pPr>
              <w:spacing w:before="240" w:after="100" w:afterAutospacing="1"/>
              <w:rPr>
                <w:rFonts w:ascii="Sylfaen" w:hAnsi="Sylfaen"/>
                <w:sz w:val="16"/>
                <w:szCs w:val="16"/>
                <w:lang w:val="ka-GE"/>
              </w:rPr>
            </w:pPr>
            <w:r w:rsidRPr="00923266">
              <w:rPr>
                <w:rFonts w:ascii="Sylfaen" w:hAnsi="Sylfaen"/>
                <w:sz w:val="16"/>
                <w:szCs w:val="16"/>
                <w:lang w:val="ka-GE"/>
              </w:rPr>
              <w:t>3</w:t>
            </w:r>
          </w:p>
        </w:tc>
        <w:tc>
          <w:tcPr>
            <w:tcW w:w="2069" w:type="pct"/>
            <w:tcBorders>
              <w:bottom w:val="single" w:sz="4" w:space="0" w:color="auto"/>
            </w:tcBorders>
            <w:vAlign w:val="center"/>
          </w:tcPr>
          <w:p w:rsidR="005D6688" w:rsidRPr="005346BB" w:rsidRDefault="005D6688" w:rsidP="006C3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line="20" w:lineRule="atLeast"/>
              <w:rPr>
                <w:rFonts w:ascii="Sylfaen" w:hAnsi="Sylfaen" w:cs="Sylfaen"/>
                <w:sz w:val="16"/>
                <w:szCs w:val="16"/>
                <w:lang w:val="ka-GE" w:eastAsia="x-none"/>
              </w:rPr>
            </w:pPr>
            <w:r w:rsidRPr="005346BB">
              <w:rPr>
                <w:rFonts w:ascii="Sylfaen" w:hAnsi="Sylfaen" w:cs="Sylfaen"/>
                <w:sz w:val="16"/>
                <w:szCs w:val="16"/>
                <w:lang w:val="ka-GE" w:eastAsia="x-none"/>
              </w:rPr>
              <w:t>ინკურაბელურ პაციენტთა მედიკამენტებით უზრუნველყოფა, მათ შორის: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928</w:t>
            </w:r>
            <w:r w:rsidRPr="00A65F0F">
              <w:rPr>
                <w:sz w:val="16"/>
                <w:szCs w:val="16"/>
              </w:rPr>
              <w:t>,</w:t>
            </w:r>
            <w:r w:rsidRPr="00A65745">
              <w:rPr>
                <w:sz w:val="16"/>
                <w:szCs w:val="16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A65F0F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F0F">
              <w:rPr>
                <w:sz w:val="16"/>
                <w:szCs w:val="16"/>
              </w:rPr>
              <w:t>928,0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A65F0F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F0F">
              <w:rPr>
                <w:sz w:val="16"/>
                <w:szCs w:val="16"/>
              </w:rPr>
              <w:t>389,7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688" w:rsidRPr="00A65F0F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F0F">
              <w:rPr>
                <w:sz w:val="16"/>
                <w:szCs w:val="16"/>
              </w:rPr>
              <w:t>389,7</w:t>
            </w:r>
          </w:p>
        </w:tc>
      </w:tr>
      <w:tr w:rsidR="005D6688" w:rsidRPr="00923266" w:rsidTr="00CF7108">
        <w:tc>
          <w:tcPr>
            <w:tcW w:w="127" w:type="pct"/>
            <w:tcBorders>
              <w:bottom w:val="nil"/>
            </w:tcBorders>
            <w:vAlign w:val="center"/>
          </w:tcPr>
          <w:p w:rsidR="005D6688" w:rsidRPr="00923266" w:rsidRDefault="005D6688" w:rsidP="006C3FC8">
            <w:pPr>
              <w:spacing w:before="240" w:after="100" w:afterAutospacing="1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D6688" w:rsidRPr="005346BB" w:rsidRDefault="005D6688" w:rsidP="00A41A1F">
            <w:pPr>
              <w:pStyle w:val="ListParagraph"/>
              <w:numPr>
                <w:ilvl w:val="0"/>
                <w:numId w:val="2"/>
              </w:numPr>
              <w:tabs>
                <w:tab w:val="left" w:pos="404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ind w:left="163" w:hanging="142"/>
              <w:rPr>
                <w:rFonts w:ascii="Sylfaen" w:hAnsi="Sylfaen" w:cs="Sylfaen"/>
                <w:sz w:val="16"/>
                <w:szCs w:val="16"/>
                <w:lang w:val="ka-GE" w:eastAsia="x-none"/>
              </w:rPr>
            </w:pPr>
            <w:r w:rsidRPr="005346BB">
              <w:rPr>
                <w:rFonts w:ascii="Sylfaen" w:hAnsi="Sylfaen" w:cs="Sylfaen"/>
                <w:sz w:val="16"/>
                <w:szCs w:val="16"/>
                <w:lang w:val="ka-GE" w:eastAsia="x-none"/>
              </w:rPr>
              <w:t>ინკურაბელურ პაციენტთა მედიკამენტებით უზრუნველყოფა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642</w:t>
            </w:r>
            <w:r w:rsidRPr="00A65F0F">
              <w:rPr>
                <w:sz w:val="16"/>
                <w:szCs w:val="16"/>
              </w:rPr>
              <w:t>,</w:t>
            </w:r>
            <w:r w:rsidRPr="00A65745">
              <w:rPr>
                <w:sz w:val="16"/>
                <w:szCs w:val="16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D6688" w:rsidRPr="00A65F0F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F0F">
              <w:rPr>
                <w:sz w:val="16"/>
                <w:szCs w:val="16"/>
              </w:rPr>
              <w:t>642,0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D6688" w:rsidRPr="00A65F0F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F0F">
              <w:rPr>
                <w:sz w:val="16"/>
                <w:szCs w:val="16"/>
              </w:rPr>
              <w:t>176,7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D6688" w:rsidRPr="00A65F0F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F0F">
              <w:rPr>
                <w:sz w:val="16"/>
                <w:szCs w:val="16"/>
              </w:rPr>
              <w:t>176,7</w:t>
            </w:r>
          </w:p>
        </w:tc>
      </w:tr>
      <w:tr w:rsidR="005D6688" w:rsidRPr="00923266" w:rsidTr="00CF7108">
        <w:tc>
          <w:tcPr>
            <w:tcW w:w="127" w:type="pct"/>
            <w:tcBorders>
              <w:top w:val="nil"/>
              <w:bottom w:val="single" w:sz="4" w:space="0" w:color="auto"/>
            </w:tcBorders>
            <w:vAlign w:val="center"/>
          </w:tcPr>
          <w:p w:rsidR="005D6688" w:rsidRPr="00923266" w:rsidRDefault="005D6688" w:rsidP="006C3FC8">
            <w:pPr>
              <w:spacing w:before="240" w:after="100" w:afterAutospacing="1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0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6688" w:rsidRPr="005346BB" w:rsidRDefault="005D6688" w:rsidP="00A41A1F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0" w:line="20" w:lineRule="atLeast"/>
              <w:ind w:left="163" w:hanging="163"/>
              <w:rPr>
                <w:rFonts w:ascii="Sylfaen" w:hAnsi="Sylfaen" w:cs="Sylfaen"/>
                <w:sz w:val="16"/>
                <w:szCs w:val="16"/>
                <w:lang w:val="ka-GE" w:eastAsia="x-none"/>
              </w:rPr>
            </w:pPr>
            <w:r w:rsidRPr="005346BB">
              <w:rPr>
                <w:rFonts w:ascii="Sylfaen" w:hAnsi="Sylfaen" w:cs="Sylfaen"/>
                <w:sz w:val="16"/>
                <w:szCs w:val="16"/>
                <w:lang w:val="ka-GE" w:eastAsia="x-none"/>
              </w:rPr>
              <w:t>სპეციალურ სამკურნალო საშუალებათა ტრანსპორტირების, შენახვისა და  გაცემის ხარჯები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D6688" w:rsidRPr="00A65745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745">
              <w:rPr>
                <w:sz w:val="16"/>
                <w:szCs w:val="16"/>
              </w:rPr>
              <w:t>286</w:t>
            </w:r>
            <w:r w:rsidRPr="00A65F0F">
              <w:rPr>
                <w:sz w:val="16"/>
                <w:szCs w:val="16"/>
              </w:rPr>
              <w:t>,</w:t>
            </w:r>
            <w:r w:rsidRPr="00A65745">
              <w:rPr>
                <w:sz w:val="16"/>
                <w:szCs w:val="16"/>
              </w:rPr>
              <w:t>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D6688" w:rsidRPr="00A65F0F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F0F">
              <w:rPr>
                <w:sz w:val="16"/>
                <w:szCs w:val="16"/>
              </w:rPr>
              <w:t>286,0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D6688" w:rsidRPr="00A65F0F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F0F">
              <w:rPr>
                <w:sz w:val="16"/>
                <w:szCs w:val="16"/>
              </w:rPr>
              <w:t>213,0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D6688" w:rsidRPr="00A65F0F" w:rsidRDefault="005D6688" w:rsidP="006C3FC8">
            <w:pPr>
              <w:spacing w:before="240"/>
              <w:jc w:val="right"/>
              <w:rPr>
                <w:sz w:val="16"/>
                <w:szCs w:val="16"/>
              </w:rPr>
            </w:pPr>
            <w:r w:rsidRPr="00A65F0F">
              <w:rPr>
                <w:sz w:val="16"/>
                <w:szCs w:val="16"/>
              </w:rPr>
              <w:t>213,0</w:t>
            </w:r>
          </w:p>
        </w:tc>
      </w:tr>
      <w:tr w:rsidR="005D6688" w:rsidRPr="00923266" w:rsidTr="00CF7108">
        <w:tc>
          <w:tcPr>
            <w:tcW w:w="127" w:type="pct"/>
            <w:shd w:val="clear" w:color="auto" w:fill="F2DBDB" w:themeFill="accent2" w:themeFillTint="33"/>
            <w:hideMark/>
          </w:tcPr>
          <w:p w:rsidR="005D6688" w:rsidRPr="00923266" w:rsidRDefault="005D6688" w:rsidP="006C3FC8">
            <w:pPr>
              <w:spacing w:before="240" w:after="100" w:afterAutospacing="1"/>
              <w:rPr>
                <w:rFonts w:ascii="Sylfaen" w:hAnsi="Sylfaen"/>
                <w:sz w:val="16"/>
                <w:szCs w:val="16"/>
                <w:lang w:val="ka-GE"/>
              </w:rPr>
            </w:pPr>
            <w:r w:rsidRPr="00923266">
              <w:rPr>
                <w:rFonts w:ascii="Sylfaen" w:hAnsi="Sylfaen"/>
                <w:sz w:val="16"/>
                <w:szCs w:val="16"/>
                <w:lang w:val="ka-GE"/>
              </w:rPr>
              <w:t> </w:t>
            </w:r>
          </w:p>
        </w:tc>
        <w:tc>
          <w:tcPr>
            <w:tcW w:w="2069" w:type="pct"/>
            <w:shd w:val="clear" w:color="auto" w:fill="F2DBDB" w:themeFill="accent2" w:themeFillTint="33"/>
          </w:tcPr>
          <w:p w:rsidR="005D6688" w:rsidRPr="00923266" w:rsidRDefault="005D6688" w:rsidP="006C3FC8">
            <w:pPr>
              <w:spacing w:before="240" w:after="100" w:afterAutospacing="1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923266">
              <w:rPr>
                <w:rFonts w:ascii="Sylfaen" w:hAnsi="Sylfaen"/>
                <w:b/>
                <w:sz w:val="16"/>
                <w:szCs w:val="16"/>
                <w:lang w:val="ka-GE"/>
              </w:rPr>
              <w:t>ჯამი</w:t>
            </w:r>
          </w:p>
        </w:tc>
        <w:tc>
          <w:tcPr>
            <w:tcW w:w="701" w:type="pct"/>
            <w:shd w:val="clear" w:color="auto" w:fill="F2DBDB" w:themeFill="accent2" w:themeFillTint="33"/>
            <w:vAlign w:val="center"/>
          </w:tcPr>
          <w:p w:rsidR="005D6688" w:rsidRPr="00CB3173" w:rsidRDefault="005D6688" w:rsidP="006C3FC8">
            <w:pPr>
              <w:spacing w:before="240"/>
              <w:jc w:val="right"/>
              <w:rPr>
                <w:b/>
                <w:sz w:val="16"/>
                <w:szCs w:val="16"/>
              </w:rPr>
            </w:pPr>
            <w:r w:rsidRPr="00CB3173">
              <w:rPr>
                <w:b/>
                <w:sz w:val="16"/>
                <w:szCs w:val="16"/>
              </w:rPr>
              <w:t>3 100,0</w:t>
            </w:r>
          </w:p>
        </w:tc>
        <w:tc>
          <w:tcPr>
            <w:tcW w:w="701" w:type="pct"/>
            <w:shd w:val="clear" w:color="auto" w:fill="F2DBDB" w:themeFill="accent2" w:themeFillTint="33"/>
            <w:vAlign w:val="center"/>
          </w:tcPr>
          <w:p w:rsidR="005D6688" w:rsidRPr="00CB3173" w:rsidRDefault="005D6688" w:rsidP="006C3FC8">
            <w:pPr>
              <w:spacing w:before="240"/>
              <w:jc w:val="right"/>
              <w:rPr>
                <w:b/>
                <w:sz w:val="16"/>
                <w:szCs w:val="16"/>
              </w:rPr>
            </w:pPr>
            <w:r w:rsidRPr="00CB3173">
              <w:rPr>
                <w:b/>
                <w:sz w:val="16"/>
                <w:szCs w:val="16"/>
              </w:rPr>
              <w:t>3 100,0</w:t>
            </w:r>
          </w:p>
        </w:tc>
        <w:tc>
          <w:tcPr>
            <w:tcW w:w="701" w:type="pct"/>
            <w:shd w:val="clear" w:color="auto" w:fill="F2DBDB" w:themeFill="accent2" w:themeFillTint="33"/>
            <w:vAlign w:val="center"/>
          </w:tcPr>
          <w:p w:rsidR="005D6688" w:rsidRPr="001E6F8D" w:rsidRDefault="005D6688" w:rsidP="006C3FC8">
            <w:pPr>
              <w:spacing w:before="240"/>
              <w:ind w:right="-45"/>
              <w:jc w:val="right"/>
              <w:rPr>
                <w:b/>
                <w:sz w:val="16"/>
                <w:szCs w:val="16"/>
              </w:rPr>
            </w:pPr>
            <w:r w:rsidRPr="005346BB">
              <w:rPr>
                <w:b/>
                <w:sz w:val="16"/>
                <w:szCs w:val="16"/>
              </w:rPr>
              <w:t>987,</w:t>
            </w:r>
            <w:r w:rsidRPr="001E6F8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1" w:type="pct"/>
            <w:shd w:val="clear" w:color="auto" w:fill="F2DBDB" w:themeFill="accent2" w:themeFillTint="33"/>
            <w:vAlign w:val="center"/>
          </w:tcPr>
          <w:p w:rsidR="005D6688" w:rsidRPr="00CB3173" w:rsidRDefault="005D6688" w:rsidP="006C3FC8">
            <w:pPr>
              <w:spacing w:before="240"/>
              <w:ind w:right="-45"/>
              <w:jc w:val="right"/>
              <w:rPr>
                <w:b/>
                <w:sz w:val="16"/>
                <w:szCs w:val="16"/>
              </w:rPr>
            </w:pPr>
            <w:r w:rsidRPr="00CB3173">
              <w:rPr>
                <w:b/>
                <w:sz w:val="16"/>
                <w:szCs w:val="16"/>
              </w:rPr>
              <w:t>1140,6</w:t>
            </w:r>
          </w:p>
        </w:tc>
      </w:tr>
    </w:tbl>
    <w:p w:rsidR="005D6688" w:rsidRDefault="005D6688" w:rsidP="006C3FC8">
      <w:pPr>
        <w:spacing w:before="240"/>
        <w:jc w:val="both"/>
        <w:rPr>
          <w:rFonts w:ascii="Sylfaen" w:hAnsi="Sylfaen"/>
          <w:lang w:val="ka-GE"/>
        </w:rPr>
      </w:pPr>
    </w:p>
    <w:p w:rsidR="005D6688" w:rsidRPr="003D280D" w:rsidRDefault="005D6688" w:rsidP="003D280D">
      <w:pPr>
        <w:spacing w:before="240"/>
        <w:ind w:firstLine="720"/>
        <w:jc w:val="both"/>
        <w:rPr>
          <w:rFonts w:ascii="Sylfaen" w:hAnsi="Sylfaen" w:cs="Sylfaen"/>
          <w:sz w:val="24"/>
          <w:szCs w:val="24"/>
          <w:lang w:val="ka-GE" w:eastAsia="x-none"/>
        </w:rPr>
      </w:pPr>
      <w:r w:rsidRPr="003D280D">
        <w:rPr>
          <w:rFonts w:ascii="Sylfaen" w:hAnsi="Sylfaen" w:cs="Sylfaen"/>
          <w:sz w:val="24"/>
          <w:szCs w:val="24"/>
          <w:lang w:val="ka-GE" w:eastAsia="x-none"/>
        </w:rPr>
        <w:t>ინკურაბელურ</w:t>
      </w:r>
      <w:r w:rsidRPr="003D280D">
        <w:rPr>
          <w:sz w:val="24"/>
          <w:szCs w:val="24"/>
          <w:lang w:val="ka-GE" w:eastAsia="x-none"/>
        </w:rPr>
        <w:t xml:space="preserve"> </w:t>
      </w:r>
      <w:r w:rsidRPr="003D280D">
        <w:rPr>
          <w:rFonts w:ascii="Sylfaen" w:hAnsi="Sylfaen" w:cs="Sylfaen"/>
          <w:sz w:val="24"/>
          <w:szCs w:val="24"/>
          <w:lang w:val="ka-GE" w:eastAsia="x-none"/>
        </w:rPr>
        <w:t>პაციენტთა</w:t>
      </w:r>
      <w:r w:rsidRPr="003D280D">
        <w:rPr>
          <w:sz w:val="24"/>
          <w:szCs w:val="24"/>
          <w:lang w:val="ka-GE" w:eastAsia="x-none"/>
        </w:rPr>
        <w:t xml:space="preserve"> </w:t>
      </w:r>
      <w:r w:rsidRPr="003D280D">
        <w:rPr>
          <w:rFonts w:ascii="Sylfaen" w:hAnsi="Sylfaen" w:cs="Sylfaen"/>
          <w:sz w:val="24"/>
          <w:szCs w:val="24"/>
          <w:lang w:val="ka-GE" w:eastAsia="x-none"/>
        </w:rPr>
        <w:t>ამბულატორიული</w:t>
      </w:r>
      <w:r w:rsidRPr="003D280D">
        <w:rPr>
          <w:sz w:val="24"/>
          <w:szCs w:val="24"/>
          <w:lang w:val="ka-GE" w:eastAsia="x-none"/>
        </w:rPr>
        <w:t xml:space="preserve"> </w:t>
      </w:r>
      <w:r w:rsidRPr="003D280D">
        <w:rPr>
          <w:rFonts w:ascii="Sylfaen" w:hAnsi="Sylfaen" w:cs="Sylfaen"/>
          <w:sz w:val="24"/>
          <w:szCs w:val="24"/>
          <w:lang w:val="ka-GE" w:eastAsia="x-none"/>
        </w:rPr>
        <w:t>პალიატიური</w:t>
      </w:r>
      <w:r w:rsidRPr="003D280D">
        <w:rPr>
          <w:sz w:val="24"/>
          <w:szCs w:val="24"/>
          <w:lang w:val="ka-GE" w:eastAsia="x-none"/>
        </w:rPr>
        <w:t xml:space="preserve"> </w:t>
      </w:r>
      <w:r w:rsidRPr="003D280D">
        <w:rPr>
          <w:rFonts w:ascii="Sylfaen" w:hAnsi="Sylfaen" w:cs="Sylfaen"/>
          <w:sz w:val="24"/>
          <w:szCs w:val="24"/>
          <w:lang w:val="ka-GE" w:eastAsia="x-none"/>
        </w:rPr>
        <w:t>მზრუნველობის კომპონენტის ფარგლებში 9 თვის საკასო ხარჯი ამავე პ</w:t>
      </w:r>
      <w:r w:rsidR="00934C6D">
        <w:rPr>
          <w:rFonts w:ascii="Sylfaen" w:hAnsi="Sylfaen" w:cs="Sylfaen"/>
          <w:sz w:val="24"/>
          <w:szCs w:val="24"/>
          <w:lang w:val="ka-GE" w:eastAsia="x-none"/>
        </w:rPr>
        <w:t>ე</w:t>
      </w:r>
      <w:r w:rsidRPr="003D280D">
        <w:rPr>
          <w:rFonts w:ascii="Sylfaen" w:hAnsi="Sylfaen" w:cs="Sylfaen"/>
          <w:sz w:val="24"/>
          <w:szCs w:val="24"/>
          <w:lang w:val="ka-GE" w:eastAsia="x-none"/>
        </w:rPr>
        <w:t>რიოდის ფაქტობრივ (152,8 ათასი ლარი)</w:t>
      </w:r>
      <w:r w:rsidR="002F4EC1" w:rsidRPr="003D280D">
        <w:rPr>
          <w:rFonts w:ascii="Sylfaen" w:hAnsi="Sylfaen" w:cs="Sylfaen"/>
          <w:sz w:val="24"/>
          <w:szCs w:val="24"/>
          <w:lang w:val="ka-GE" w:eastAsia="x-none"/>
        </w:rPr>
        <w:t xml:space="preserve"> ხარჯზე 239,5 ათასი ლარით მეტია,</w:t>
      </w:r>
      <w:r w:rsidRPr="003D280D">
        <w:rPr>
          <w:rFonts w:ascii="Sylfaen" w:hAnsi="Sylfaen" w:cs="Sylfaen"/>
          <w:sz w:val="24"/>
          <w:szCs w:val="24"/>
          <w:lang w:val="ka-GE" w:eastAsia="x-none"/>
        </w:rPr>
        <w:t xml:space="preserve"> რაც გამოწვეულია სასამართლო გადაწყვეტილებებით სააგენტოსთვის, პროგრამის ფარგლე</w:t>
      </w:r>
      <w:r w:rsidR="002F4EC1" w:rsidRPr="003D280D">
        <w:rPr>
          <w:rFonts w:ascii="Sylfaen" w:hAnsi="Sylfaen" w:cs="Sylfaen"/>
          <w:sz w:val="24"/>
          <w:szCs w:val="24"/>
          <w:lang w:val="ka-GE" w:eastAsia="x-none"/>
        </w:rPr>
        <w:t>ბში, დაკისრებული  ვალდებულებებით (დავალიანებები)</w:t>
      </w:r>
      <w:r w:rsidRPr="003D280D">
        <w:rPr>
          <w:rFonts w:ascii="Sylfaen" w:hAnsi="Sylfaen" w:cs="Sylfaen"/>
          <w:sz w:val="24"/>
          <w:szCs w:val="24"/>
          <w:lang w:val="ka-GE" w:eastAsia="x-none"/>
        </w:rPr>
        <w:t xml:space="preserve">. დადგენილებების საფუძველზე სააგენტოს მიერ გადახდილია 240,4 ათასი ლარი. </w:t>
      </w:r>
    </w:p>
    <w:p w:rsidR="00667335" w:rsidRDefault="00667335" w:rsidP="006C3F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/>
        <w:ind w:firstLine="567"/>
        <w:jc w:val="both"/>
        <w:rPr>
          <w:rFonts w:ascii="Sylfaen" w:eastAsia="Sylfaen" w:hAnsi="Sylfaen" w:cstheme="minorBidi"/>
          <w:b/>
          <w:color w:val="17365D" w:themeColor="text2" w:themeShade="BF"/>
          <w:sz w:val="28"/>
          <w:szCs w:val="28"/>
          <w:lang w:val="ka-GE"/>
        </w:rPr>
      </w:pPr>
    </w:p>
    <w:p w:rsidR="00F800C8" w:rsidRPr="00DB3F7D" w:rsidRDefault="0088749E" w:rsidP="00DB3F7D">
      <w:pPr>
        <w:pStyle w:val="Heading1"/>
        <w:spacing w:before="240"/>
        <w:ind w:firstLine="720"/>
        <w:rPr>
          <w:rFonts w:ascii="Sylfaen" w:hAnsi="Sylfaen" w:cs="Sylfaen"/>
          <w:color w:val="17365D" w:themeColor="text2" w:themeShade="BF"/>
          <w:lang w:val="ka-GE"/>
        </w:rPr>
      </w:pPr>
      <w:bookmarkStart w:id="15" w:name="_Toc473038338"/>
      <w:r w:rsidRPr="0088749E">
        <w:rPr>
          <w:rFonts w:ascii="Sylfaen" w:eastAsia="Sylfaen" w:hAnsi="Sylfaen" w:cstheme="minorBidi"/>
          <w:color w:val="17365D" w:themeColor="text2" w:themeShade="BF"/>
          <w:lang w:val="ka-GE"/>
        </w:rPr>
        <w:t>4.</w:t>
      </w:r>
      <w:r w:rsidR="00DB3F7D" w:rsidRPr="00DB3F7D">
        <w:rPr>
          <w:rFonts w:ascii="Sylfaen" w:hAnsi="Sylfaen" w:cs="Sylfaen"/>
          <w:color w:val="17365D" w:themeColor="text2" w:themeShade="BF"/>
          <w:lang w:val="ka-GE"/>
        </w:rPr>
        <w:t xml:space="preserve"> </w:t>
      </w:r>
      <w:r w:rsidR="00667335" w:rsidRPr="0088749E">
        <w:rPr>
          <w:rFonts w:ascii="Sylfaen" w:eastAsia="Sylfaen" w:hAnsi="Sylfaen"/>
          <w:color w:val="17365D" w:themeColor="text2" w:themeShade="BF"/>
          <w:lang w:val="ka-GE"/>
        </w:rPr>
        <w:t>აუდიტის</w:t>
      </w:r>
      <w:r w:rsidR="00165908" w:rsidRPr="0088749E">
        <w:rPr>
          <w:rFonts w:ascii="Sylfaen" w:eastAsia="Sylfaen" w:hAnsi="Sylfaen"/>
          <w:color w:val="17365D" w:themeColor="text2" w:themeShade="BF"/>
          <w:lang w:val="ka-GE"/>
        </w:rPr>
        <w:t xml:space="preserve"> მიგნებები</w:t>
      </w:r>
      <w:bookmarkEnd w:id="15"/>
    </w:p>
    <w:p w:rsidR="00F800C8" w:rsidRPr="002F4EC1" w:rsidRDefault="002F4EC1" w:rsidP="00DB3F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/>
        <w:ind w:firstLine="63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2F4EC1">
        <w:rPr>
          <w:rFonts w:ascii="Sylfaen" w:eastAsia="Sylfaen" w:hAnsi="Sylfaen" w:cstheme="minorBidi"/>
          <w:b/>
          <w:sz w:val="24"/>
          <w:szCs w:val="24"/>
          <w:lang w:val="ka-GE"/>
        </w:rPr>
        <w:t>1.</w:t>
      </w:r>
      <w:r w:rsidR="000473D0">
        <w:rPr>
          <w:rFonts w:ascii="Sylfaen" w:eastAsia="Sylfaen" w:hAnsi="Sylfaen" w:cstheme="minorBidi"/>
          <w:b/>
          <w:sz w:val="24"/>
          <w:szCs w:val="24"/>
          <w:lang w:val="ka-GE"/>
        </w:rPr>
        <w:t xml:space="preserve"> </w:t>
      </w:r>
      <w:r w:rsidR="009221C4">
        <w:rPr>
          <w:rFonts w:ascii="Sylfaen" w:eastAsia="Sylfaen" w:hAnsi="Sylfaen" w:cstheme="minorBidi"/>
          <w:b/>
          <w:sz w:val="24"/>
          <w:szCs w:val="24"/>
          <w:lang w:val="ka-GE"/>
        </w:rPr>
        <w:t xml:space="preserve">პროგრამის ადმინისტრირების არსებული წესი სრულად ვერ </w:t>
      </w:r>
      <w:r w:rsidR="009221C4" w:rsidRPr="009221C4">
        <w:rPr>
          <w:rFonts w:ascii="Sylfaen" w:hAnsi="Sylfaen" w:cs="Sylfaen"/>
          <w:b/>
          <w:sz w:val="24"/>
          <w:szCs w:val="24"/>
          <w:lang w:val="ka-GE"/>
        </w:rPr>
        <w:t>გამორიცხავს</w:t>
      </w:r>
      <w:r w:rsidR="009221C4" w:rsidRPr="004D042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03F38" w:rsidRPr="002F4EC1">
        <w:rPr>
          <w:rFonts w:ascii="Sylfaen" w:eastAsia="Sylfaen" w:hAnsi="Sylfaen"/>
          <w:b/>
          <w:sz w:val="24"/>
          <w:szCs w:val="24"/>
          <w:lang w:val="ka-GE"/>
        </w:rPr>
        <w:t xml:space="preserve">ამბულატორიული პალიატიური </w:t>
      </w:r>
      <w:r w:rsidR="00F800C8" w:rsidRPr="002F4EC1">
        <w:rPr>
          <w:rFonts w:ascii="Sylfaen" w:eastAsia="Sylfaen" w:hAnsi="Sylfaen"/>
          <w:b/>
          <w:sz w:val="24"/>
          <w:szCs w:val="24"/>
          <w:lang w:val="ka-GE"/>
        </w:rPr>
        <w:t xml:space="preserve">მომსახურების </w:t>
      </w:r>
      <w:r w:rsidR="00BF4AE0" w:rsidRPr="002F4EC1">
        <w:rPr>
          <w:rFonts w:ascii="Sylfaen" w:eastAsia="Sylfaen" w:hAnsi="Sylfaen"/>
          <w:b/>
          <w:sz w:val="24"/>
          <w:szCs w:val="24"/>
          <w:lang w:val="ka-GE"/>
        </w:rPr>
        <w:t xml:space="preserve">მიწოდების  </w:t>
      </w:r>
      <w:r w:rsidR="00377868" w:rsidRPr="002F4EC1">
        <w:rPr>
          <w:rFonts w:ascii="Sylfaen" w:eastAsia="Sylfaen" w:hAnsi="Sylfaen"/>
          <w:b/>
          <w:sz w:val="24"/>
          <w:szCs w:val="24"/>
          <w:lang w:val="ka-GE"/>
        </w:rPr>
        <w:t xml:space="preserve">როგორც </w:t>
      </w:r>
      <w:r w:rsidR="00BF4AE0" w:rsidRPr="002F4EC1">
        <w:rPr>
          <w:rFonts w:ascii="Sylfaen" w:eastAsia="Sylfaen" w:hAnsi="Sylfaen"/>
          <w:b/>
          <w:sz w:val="24"/>
          <w:szCs w:val="24"/>
          <w:lang w:val="ka-GE"/>
        </w:rPr>
        <w:t>6 თვიანი ვადის</w:t>
      </w:r>
      <w:r w:rsidR="00BF4AE0" w:rsidRPr="002F4EC1">
        <w:rPr>
          <w:rStyle w:val="FootnoteReference"/>
          <w:rFonts w:ascii="Sylfaen" w:eastAsia="Sylfaen" w:hAnsi="Sylfaen" w:cstheme="minorBidi"/>
          <w:b/>
          <w:sz w:val="24"/>
          <w:szCs w:val="24"/>
          <w:lang w:val="ka-GE"/>
        </w:rPr>
        <w:footnoteReference w:id="5"/>
      </w:r>
      <w:r w:rsidR="00377868" w:rsidRPr="002F4EC1">
        <w:rPr>
          <w:rFonts w:ascii="Sylfaen" w:eastAsia="Sylfaen" w:hAnsi="Sylfaen"/>
          <w:b/>
          <w:sz w:val="24"/>
          <w:szCs w:val="24"/>
          <w:lang w:val="ka-GE"/>
        </w:rPr>
        <w:t>,  ასევე</w:t>
      </w:r>
      <w:r w:rsidR="009221C4">
        <w:rPr>
          <w:rFonts w:ascii="Sylfaen" w:eastAsia="Sylfaen" w:hAnsi="Sylfaen"/>
          <w:b/>
          <w:sz w:val="24"/>
          <w:szCs w:val="24"/>
          <w:lang w:val="ka-GE"/>
        </w:rPr>
        <w:t>,</w:t>
      </w:r>
      <w:r w:rsidR="00377868" w:rsidRPr="002F4EC1">
        <w:rPr>
          <w:rFonts w:ascii="Sylfaen" w:eastAsia="Sylfaen" w:hAnsi="Sylfaen"/>
          <w:b/>
          <w:sz w:val="24"/>
          <w:szCs w:val="24"/>
          <w:lang w:val="ka-GE"/>
        </w:rPr>
        <w:t xml:space="preserve"> თვეში დადგენილი მაქსიმალური 8 ვიზიტის</w:t>
      </w:r>
      <w:r w:rsidR="00377868" w:rsidRPr="002F4EC1">
        <w:rPr>
          <w:rStyle w:val="FootnoteReference"/>
          <w:rFonts w:ascii="Sylfaen" w:eastAsia="Sylfaen" w:hAnsi="Sylfaen" w:cstheme="minorBidi"/>
          <w:b/>
          <w:sz w:val="24"/>
          <w:szCs w:val="24"/>
          <w:lang w:val="ka-GE"/>
        </w:rPr>
        <w:footnoteReference w:id="6"/>
      </w:r>
      <w:r w:rsidR="00377868" w:rsidRPr="002F4EC1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b/>
          <w:sz w:val="24"/>
          <w:szCs w:val="24"/>
          <w:lang w:val="ka-GE"/>
        </w:rPr>
        <w:t>შესახებ</w:t>
      </w:r>
      <w:r w:rsidR="009221C4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221C4" w:rsidRPr="002F4EC1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პროგრამით გათვალისწინებული </w:t>
      </w:r>
      <w:r w:rsidR="009221C4">
        <w:rPr>
          <w:rFonts w:ascii="Sylfaen" w:eastAsia="Sylfaen" w:hAnsi="Sylfaen"/>
          <w:b/>
          <w:sz w:val="24"/>
          <w:szCs w:val="24"/>
          <w:lang w:val="ka-GE"/>
        </w:rPr>
        <w:t>მოთხოვნების დარღვევის შესაძლებლობას</w:t>
      </w:r>
      <w:r w:rsidR="00BF4AE0" w:rsidRPr="002F4EC1">
        <w:rPr>
          <w:rFonts w:ascii="Sylfaen" w:eastAsia="Sylfaen" w:hAnsi="Sylfaen"/>
          <w:b/>
          <w:sz w:val="24"/>
          <w:szCs w:val="24"/>
          <w:lang w:val="ka-GE"/>
        </w:rPr>
        <w:t>.</w:t>
      </w:r>
    </w:p>
    <w:p w:rsidR="001B1E81" w:rsidRPr="004D042E" w:rsidRDefault="005459AC" w:rsidP="006C3FC8">
      <w:pPr>
        <w:spacing w:before="240"/>
        <w:ind w:right="-31" w:firstLine="720"/>
        <w:jc w:val="both"/>
        <w:rPr>
          <w:rFonts w:ascii="Sylfaen" w:eastAsia="Sylfaen" w:hAnsi="Sylfaen" w:cstheme="minorBidi"/>
          <w:sz w:val="24"/>
          <w:szCs w:val="24"/>
          <w:lang w:val="ka-GE"/>
        </w:rPr>
      </w:pPr>
      <w:r w:rsidRPr="004D042E">
        <w:rPr>
          <w:rFonts w:ascii="Sylfaen" w:eastAsia="Sylfaen" w:hAnsi="Sylfaen" w:cstheme="minorBidi"/>
          <w:sz w:val="24"/>
          <w:szCs w:val="24"/>
          <w:lang w:val="ka-GE"/>
        </w:rPr>
        <w:lastRenderedPageBreak/>
        <w:t xml:space="preserve">პროგრამის </w:t>
      </w:r>
      <w:r w:rsidR="009221C4" w:rsidRPr="009221C4">
        <w:rPr>
          <w:rFonts w:ascii="Sylfaen" w:eastAsia="Sylfaen" w:hAnsi="Sylfaen"/>
          <w:sz w:val="24"/>
          <w:szCs w:val="24"/>
          <w:lang w:val="ka-GE"/>
        </w:rPr>
        <w:t>ამბულატორიული პალიატიური მომსახურების</w:t>
      </w:r>
      <w:r w:rsidR="009221C4" w:rsidRPr="002F4EC1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4D042E">
        <w:rPr>
          <w:rFonts w:ascii="Sylfaen" w:eastAsia="Sylfaen" w:hAnsi="Sylfaen" w:cstheme="minorBidi"/>
          <w:sz w:val="24"/>
          <w:szCs w:val="24"/>
          <w:lang w:val="ka-GE"/>
        </w:rPr>
        <w:t xml:space="preserve">კომპონენტის განხორციელებას უზრუნველყოფს სააგენტოს  ჯანმრთელობის დაცვის პროგრამების დეპარტამენტის </w:t>
      </w:r>
      <w:r w:rsidR="007F5E5A" w:rsidRPr="004D042E">
        <w:rPr>
          <w:rFonts w:ascii="Sylfaen" w:eastAsia="Sylfaen" w:hAnsi="Sylfaen" w:cstheme="minorBidi"/>
          <w:sz w:val="24"/>
          <w:szCs w:val="24"/>
          <w:lang w:val="ka-GE"/>
        </w:rPr>
        <w:t>ჯ</w:t>
      </w:r>
      <w:r w:rsidRPr="004D042E">
        <w:rPr>
          <w:rFonts w:ascii="Sylfaen" w:eastAsia="Sylfaen" w:hAnsi="Sylfaen" w:cstheme="minorBidi"/>
          <w:sz w:val="24"/>
          <w:szCs w:val="24"/>
          <w:lang w:val="ka-GE"/>
        </w:rPr>
        <w:t>ანმრთელობის დაცვის პროგრამების სამმართველო</w:t>
      </w:r>
      <w:r w:rsidR="001B1E81" w:rsidRPr="004D042E">
        <w:rPr>
          <w:rFonts w:ascii="Sylfaen" w:eastAsia="Sylfaen" w:hAnsi="Sylfaen" w:cstheme="minorBidi"/>
          <w:sz w:val="24"/>
          <w:szCs w:val="24"/>
          <w:lang w:val="ka-GE"/>
        </w:rPr>
        <w:t>.</w:t>
      </w:r>
    </w:p>
    <w:p w:rsidR="00446620" w:rsidRPr="004D042E" w:rsidRDefault="00446620" w:rsidP="006C3F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4D042E">
        <w:rPr>
          <w:rFonts w:ascii="Sylfaen" w:hAnsi="Sylfaen" w:cs="Sylfaen"/>
          <w:sz w:val="24"/>
          <w:szCs w:val="24"/>
        </w:rPr>
        <w:t>ინკურაბელურ</w:t>
      </w:r>
      <w:proofErr w:type="spellEnd"/>
      <w:proofErr w:type="gramEnd"/>
      <w:r w:rsidRPr="004D042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D042E">
        <w:rPr>
          <w:rFonts w:ascii="Sylfaen" w:hAnsi="Sylfaen" w:cs="Sylfaen"/>
          <w:sz w:val="24"/>
          <w:szCs w:val="24"/>
        </w:rPr>
        <w:t>პაციენტთა</w:t>
      </w:r>
      <w:proofErr w:type="spellEnd"/>
      <w:r w:rsidRPr="004D042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D042E">
        <w:rPr>
          <w:rFonts w:ascii="Sylfaen" w:hAnsi="Sylfaen" w:cs="Sylfaen"/>
          <w:sz w:val="24"/>
          <w:szCs w:val="24"/>
        </w:rPr>
        <w:t>ამბულატორიული</w:t>
      </w:r>
      <w:proofErr w:type="spellEnd"/>
      <w:r w:rsidRPr="004D042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D042E">
        <w:rPr>
          <w:rFonts w:ascii="Sylfaen" w:hAnsi="Sylfaen" w:cs="Sylfaen"/>
          <w:sz w:val="24"/>
          <w:szCs w:val="24"/>
        </w:rPr>
        <w:t>პალიატიური</w:t>
      </w:r>
      <w:proofErr w:type="spellEnd"/>
      <w:r w:rsidRPr="004D042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D042E">
        <w:rPr>
          <w:rFonts w:ascii="Sylfaen" w:hAnsi="Sylfaen" w:cs="Sylfaen"/>
          <w:sz w:val="24"/>
          <w:szCs w:val="24"/>
        </w:rPr>
        <w:t>მზრუნველობ</w:t>
      </w:r>
      <w:proofErr w:type="spellEnd"/>
      <w:r w:rsidRPr="004D042E">
        <w:rPr>
          <w:rFonts w:ascii="Sylfaen" w:hAnsi="Sylfaen" w:cs="Sylfaen"/>
          <w:sz w:val="24"/>
          <w:szCs w:val="24"/>
          <w:lang w:val="ka-GE"/>
        </w:rPr>
        <w:t xml:space="preserve">ის </w:t>
      </w:r>
      <w:proofErr w:type="spellStart"/>
      <w:r w:rsidRPr="004D042E">
        <w:rPr>
          <w:rFonts w:ascii="Sylfaen" w:hAnsi="Sylfaen" w:cs="Sylfaen"/>
          <w:sz w:val="24"/>
          <w:szCs w:val="24"/>
        </w:rPr>
        <w:t>ზედამხედველობა</w:t>
      </w:r>
      <w:proofErr w:type="spellEnd"/>
      <w:r w:rsidRPr="004D042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D042E">
        <w:rPr>
          <w:rFonts w:ascii="Sylfaen" w:hAnsi="Sylfaen" w:cs="Sylfaen"/>
          <w:sz w:val="24"/>
          <w:szCs w:val="24"/>
        </w:rPr>
        <w:t>ხორციელდება</w:t>
      </w:r>
      <w:proofErr w:type="spellEnd"/>
      <w:r w:rsidRPr="004D042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D042E">
        <w:rPr>
          <w:rFonts w:ascii="Sylfaen" w:hAnsi="Sylfaen" w:cs="Sylfaen"/>
          <w:sz w:val="24"/>
          <w:szCs w:val="24"/>
        </w:rPr>
        <w:t>გეგმური</w:t>
      </w:r>
      <w:proofErr w:type="spellEnd"/>
      <w:r w:rsidRPr="004D042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D042E">
        <w:rPr>
          <w:rFonts w:ascii="Sylfaen" w:hAnsi="Sylfaen" w:cs="Sylfaen"/>
          <w:sz w:val="24"/>
          <w:szCs w:val="24"/>
        </w:rPr>
        <w:t>ამბულატორიული</w:t>
      </w:r>
      <w:proofErr w:type="spellEnd"/>
      <w:r w:rsidRPr="004D042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D042E">
        <w:rPr>
          <w:rFonts w:ascii="Sylfaen" w:hAnsi="Sylfaen" w:cs="Sylfaen"/>
          <w:sz w:val="24"/>
          <w:szCs w:val="24"/>
        </w:rPr>
        <w:t>შემთხვევების</w:t>
      </w:r>
      <w:proofErr w:type="spellEnd"/>
      <w:r w:rsidRPr="004D042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D042E">
        <w:rPr>
          <w:rFonts w:ascii="Sylfaen" w:hAnsi="Sylfaen" w:cs="Sylfaen"/>
          <w:sz w:val="24"/>
          <w:szCs w:val="24"/>
        </w:rPr>
        <w:t>ზედამხედველობის</w:t>
      </w:r>
      <w:proofErr w:type="spellEnd"/>
      <w:r w:rsidRPr="004D042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D042E">
        <w:rPr>
          <w:rFonts w:ascii="Sylfaen" w:hAnsi="Sylfaen" w:cs="Sylfaen"/>
          <w:sz w:val="24"/>
          <w:szCs w:val="24"/>
        </w:rPr>
        <w:t>წესის</w:t>
      </w:r>
      <w:proofErr w:type="spellEnd"/>
      <w:r w:rsidRPr="004D042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D042E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4D042E">
        <w:rPr>
          <w:rStyle w:val="FootnoteReference"/>
          <w:rFonts w:ascii="Sylfaen" w:hAnsi="Sylfaen" w:cs="Sylfaen"/>
          <w:sz w:val="24"/>
          <w:szCs w:val="24"/>
        </w:rPr>
        <w:footnoteReference w:id="7"/>
      </w:r>
      <w:r w:rsidR="000A505A" w:rsidRPr="004D042E">
        <w:rPr>
          <w:rFonts w:ascii="Sylfaen" w:hAnsi="Sylfaen" w:cs="Sylfaen"/>
          <w:sz w:val="24"/>
          <w:szCs w:val="24"/>
          <w:lang w:val="ka-GE"/>
        </w:rPr>
        <w:t xml:space="preserve">, რომლის მიხედვითაც იგი მოიცავს </w:t>
      </w:r>
      <w:proofErr w:type="spellStart"/>
      <w:r w:rsidR="000A505A" w:rsidRPr="004D042E">
        <w:rPr>
          <w:rFonts w:ascii="Sylfaen" w:hAnsi="Sylfaen" w:cs="Sylfaen"/>
          <w:sz w:val="24"/>
          <w:szCs w:val="24"/>
        </w:rPr>
        <w:t>ანგარიშის</w:t>
      </w:r>
      <w:proofErr w:type="spellEnd"/>
      <w:r w:rsidR="000A505A" w:rsidRPr="004D042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A505A" w:rsidRPr="004D042E">
        <w:rPr>
          <w:rFonts w:ascii="Sylfaen" w:hAnsi="Sylfaen" w:cs="Sylfaen"/>
          <w:sz w:val="24"/>
          <w:szCs w:val="24"/>
        </w:rPr>
        <w:t>წარდგენ</w:t>
      </w:r>
      <w:proofErr w:type="spellEnd"/>
      <w:r w:rsidR="000A505A" w:rsidRPr="004D042E">
        <w:rPr>
          <w:rFonts w:ascii="Sylfaen" w:hAnsi="Sylfaen" w:cs="Sylfaen"/>
          <w:sz w:val="24"/>
          <w:szCs w:val="24"/>
          <w:lang w:val="ka-GE"/>
        </w:rPr>
        <w:t>ის,</w:t>
      </w:r>
      <w:r w:rsidRPr="004D042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D042E">
        <w:rPr>
          <w:rFonts w:ascii="Sylfaen" w:hAnsi="Sylfaen" w:cs="Sylfaen"/>
          <w:sz w:val="24"/>
          <w:szCs w:val="24"/>
        </w:rPr>
        <w:t>საანგარიშგებო</w:t>
      </w:r>
      <w:proofErr w:type="spellEnd"/>
      <w:r w:rsidRPr="004D042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D042E">
        <w:rPr>
          <w:rFonts w:ascii="Sylfaen" w:hAnsi="Sylfaen" w:cs="Sylfaen"/>
          <w:sz w:val="24"/>
          <w:szCs w:val="24"/>
        </w:rPr>
        <w:t>დოკუმენტაციის</w:t>
      </w:r>
      <w:proofErr w:type="spellEnd"/>
      <w:r w:rsidRPr="004D042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D042E">
        <w:rPr>
          <w:rFonts w:ascii="Sylfaen" w:hAnsi="Sylfaen" w:cs="Sylfaen"/>
          <w:sz w:val="24"/>
          <w:szCs w:val="24"/>
        </w:rPr>
        <w:t>ინსპექტირებ</w:t>
      </w:r>
      <w:proofErr w:type="spellEnd"/>
      <w:r w:rsidR="000A505A" w:rsidRPr="004D042E">
        <w:rPr>
          <w:rFonts w:ascii="Sylfaen" w:hAnsi="Sylfaen" w:cs="Sylfaen"/>
          <w:sz w:val="24"/>
          <w:szCs w:val="24"/>
          <w:lang w:val="ka-GE"/>
        </w:rPr>
        <w:t>ისა და</w:t>
      </w:r>
      <w:r w:rsidR="000A505A" w:rsidRPr="004D042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A505A" w:rsidRPr="004D042E">
        <w:rPr>
          <w:rFonts w:ascii="Sylfaen" w:hAnsi="Sylfaen" w:cs="Sylfaen"/>
          <w:sz w:val="24"/>
          <w:szCs w:val="24"/>
        </w:rPr>
        <w:t>ანაზღაურებ</w:t>
      </w:r>
      <w:proofErr w:type="spellEnd"/>
      <w:r w:rsidR="000A505A" w:rsidRPr="004D042E">
        <w:rPr>
          <w:rFonts w:ascii="Sylfaen" w:hAnsi="Sylfaen" w:cs="Sylfaen"/>
          <w:sz w:val="24"/>
          <w:szCs w:val="24"/>
          <w:lang w:val="ka-GE"/>
        </w:rPr>
        <w:t>ის</w:t>
      </w:r>
      <w:r w:rsidRPr="004D042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D042E">
        <w:rPr>
          <w:rFonts w:ascii="Sylfaen" w:hAnsi="Sylfaen" w:cs="Sylfaen"/>
          <w:sz w:val="24"/>
          <w:szCs w:val="24"/>
        </w:rPr>
        <w:t>ან</w:t>
      </w:r>
      <w:proofErr w:type="spellEnd"/>
      <w:r w:rsidRPr="004D042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D042E">
        <w:rPr>
          <w:rFonts w:ascii="Sylfaen" w:hAnsi="Sylfaen" w:cs="Sylfaen"/>
          <w:sz w:val="24"/>
          <w:szCs w:val="24"/>
        </w:rPr>
        <w:t>ანაზღაურებაზე</w:t>
      </w:r>
      <w:proofErr w:type="spellEnd"/>
      <w:r w:rsidRPr="004D042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D042E">
        <w:rPr>
          <w:rFonts w:ascii="Sylfaen" w:hAnsi="Sylfaen" w:cs="Sylfaen"/>
          <w:sz w:val="24"/>
          <w:szCs w:val="24"/>
        </w:rPr>
        <w:t>უარი</w:t>
      </w:r>
      <w:proofErr w:type="spellEnd"/>
      <w:r w:rsidR="000A505A" w:rsidRPr="004D042E">
        <w:rPr>
          <w:rFonts w:ascii="Sylfaen" w:hAnsi="Sylfaen" w:cs="Sylfaen"/>
          <w:sz w:val="24"/>
          <w:szCs w:val="24"/>
          <w:lang w:val="ka-GE"/>
        </w:rPr>
        <w:t>ს</w:t>
      </w:r>
      <w:r w:rsidR="009221C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A505A" w:rsidRPr="004D042E">
        <w:rPr>
          <w:rFonts w:ascii="Sylfaen" w:hAnsi="Sylfaen" w:cs="Sylfaen"/>
          <w:sz w:val="24"/>
          <w:szCs w:val="24"/>
          <w:lang w:val="ka-GE"/>
        </w:rPr>
        <w:t>ეტაპებს</w:t>
      </w:r>
      <w:r w:rsidR="000A505A" w:rsidRPr="004D042E">
        <w:rPr>
          <w:rStyle w:val="FootnoteReference"/>
          <w:rFonts w:ascii="Sylfaen" w:hAnsi="Sylfaen" w:cs="Sylfaen"/>
          <w:sz w:val="24"/>
          <w:szCs w:val="24"/>
          <w:lang w:val="ka-GE"/>
        </w:rPr>
        <w:footnoteReference w:id="8"/>
      </w:r>
      <w:r w:rsidR="000A505A" w:rsidRPr="004D042E">
        <w:rPr>
          <w:rFonts w:ascii="Sylfaen" w:hAnsi="Sylfaen" w:cs="Sylfaen"/>
          <w:sz w:val="24"/>
          <w:szCs w:val="24"/>
          <w:lang w:val="ka-GE"/>
        </w:rPr>
        <w:t>.</w:t>
      </w:r>
    </w:p>
    <w:p w:rsidR="009221C4" w:rsidRPr="004D042E" w:rsidRDefault="009221C4" w:rsidP="009221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/>
        <w:ind w:firstLine="567"/>
        <w:jc w:val="both"/>
        <w:rPr>
          <w:rFonts w:ascii="Sylfaen" w:eastAsia="Sylfaen" w:hAnsi="Sylfaen" w:cstheme="minorBidi"/>
          <w:sz w:val="24"/>
          <w:szCs w:val="24"/>
          <w:lang w:val="ka-GE"/>
        </w:rPr>
      </w:pPr>
      <w:r w:rsidRPr="004D042E">
        <w:rPr>
          <w:rFonts w:ascii="Sylfaen" w:eastAsia="Sylfaen" w:hAnsi="Sylfaen" w:cstheme="minorBidi"/>
          <w:sz w:val="24"/>
          <w:szCs w:val="24"/>
          <w:lang w:val="ka-GE"/>
        </w:rPr>
        <w:t xml:space="preserve">შიდა აუდიტის დეპარტამენტის მიერ მოთხოვნილ იქნა შესასწავლ პერიოდში დაფიქსირებული იმ ბენეფიციარების მონაცემები, რომლებიც სარგებლობდნენ პროგრამის ამბულატორიული პალიატიური მზრუნველობით. </w:t>
      </w:r>
    </w:p>
    <w:p w:rsidR="009221C4" w:rsidRPr="004D042E" w:rsidRDefault="009221C4" w:rsidP="009221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/>
        <w:ind w:firstLine="567"/>
        <w:jc w:val="both"/>
        <w:rPr>
          <w:rFonts w:ascii="Sylfaen" w:eastAsia="Sylfaen" w:hAnsi="Sylfaen" w:cstheme="minorBidi"/>
          <w:sz w:val="24"/>
          <w:szCs w:val="24"/>
          <w:lang w:val="ka-GE"/>
        </w:rPr>
      </w:pPr>
      <w:r w:rsidRPr="004D042E">
        <w:rPr>
          <w:rFonts w:ascii="Sylfaen" w:eastAsia="Sylfaen" w:hAnsi="Sylfaen" w:cstheme="minorBidi"/>
          <w:sz w:val="24"/>
          <w:szCs w:val="24"/>
          <w:lang w:val="ka-GE"/>
        </w:rPr>
        <w:t>მოწოდებული ინფორმაციის შესწავლისას გამოვლინდა ერთეული შემთხვევ</w:t>
      </w:r>
      <w:r>
        <w:rPr>
          <w:rFonts w:ascii="Sylfaen" w:eastAsia="Sylfaen" w:hAnsi="Sylfaen" w:cstheme="minorBidi"/>
          <w:sz w:val="24"/>
          <w:szCs w:val="24"/>
          <w:lang w:val="ka-GE"/>
        </w:rPr>
        <w:t>ები</w:t>
      </w:r>
      <w:r w:rsidRPr="004D042E">
        <w:rPr>
          <w:rFonts w:ascii="Sylfaen" w:eastAsia="Sylfaen" w:hAnsi="Sylfaen" w:cstheme="minorBidi"/>
          <w:sz w:val="24"/>
          <w:szCs w:val="24"/>
          <w:lang w:val="ka-GE"/>
        </w:rPr>
        <w:t>, როდესაც ბენეფიციარი პროგრამაში ჩართული იყო 6 თვეზე მეტი ვადით და/ან იღებდა თვეში პროგრამით დადგენილ 8 ვიზიტზე მეტს.</w:t>
      </w:r>
    </w:p>
    <w:p w:rsidR="00446620" w:rsidRDefault="009221C4" w:rsidP="006C3F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/>
        <w:ind w:firstLine="720"/>
        <w:jc w:val="both"/>
        <w:rPr>
          <w:rFonts w:ascii="Sylfaen" w:eastAsia="Sylfaen" w:hAnsi="Sylfaen" w:cstheme="minorBidi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გასათვალისწინებელია, რომ წარმოდგენილ დარღვევათა რაოდენობა არაარსებითია, თუმცა </w:t>
      </w:r>
      <w:r w:rsidR="0013237E" w:rsidRPr="004D042E">
        <w:rPr>
          <w:rFonts w:ascii="Sylfaen" w:hAnsi="Sylfaen" w:cs="Sylfaen"/>
          <w:sz w:val="24"/>
          <w:szCs w:val="24"/>
          <w:lang w:val="ka-GE"/>
        </w:rPr>
        <w:t>როგორც მოწოდებული ინფორმაციის დამუშავებით გაირკვა, საანგარიშგებო დოკუმენტაციის ინ</w:t>
      </w:r>
      <w:r w:rsidR="00934C6D">
        <w:rPr>
          <w:rFonts w:ascii="Sylfaen" w:hAnsi="Sylfaen" w:cs="Sylfaen"/>
          <w:sz w:val="24"/>
          <w:szCs w:val="24"/>
          <w:lang w:val="ka-GE"/>
        </w:rPr>
        <w:t>ს</w:t>
      </w:r>
      <w:r w:rsidR="0013237E" w:rsidRPr="004D042E">
        <w:rPr>
          <w:rFonts w:ascii="Sylfaen" w:hAnsi="Sylfaen" w:cs="Sylfaen"/>
          <w:sz w:val="24"/>
          <w:szCs w:val="24"/>
          <w:lang w:val="ka-GE"/>
        </w:rPr>
        <w:t xml:space="preserve">პექტირებისას არ არის შემუშავებული ისეთი სისტემა, რომელიც </w:t>
      </w:r>
      <w:r w:rsidR="00DD3C78" w:rsidRPr="004D042E">
        <w:rPr>
          <w:rFonts w:ascii="Sylfaen" w:hAnsi="Sylfaen" w:cs="Sylfaen"/>
          <w:sz w:val="24"/>
          <w:szCs w:val="24"/>
          <w:lang w:val="ka-GE"/>
        </w:rPr>
        <w:t xml:space="preserve">სრულად </w:t>
      </w:r>
      <w:r w:rsidR="0013237E" w:rsidRPr="004D042E">
        <w:rPr>
          <w:rFonts w:ascii="Sylfaen" w:hAnsi="Sylfaen" w:cs="Sylfaen"/>
          <w:sz w:val="24"/>
          <w:szCs w:val="24"/>
          <w:lang w:val="ka-GE"/>
        </w:rPr>
        <w:t xml:space="preserve">გამორიცხავს </w:t>
      </w:r>
      <w:r w:rsidR="0013237E" w:rsidRPr="004D042E">
        <w:rPr>
          <w:rFonts w:ascii="Sylfaen" w:eastAsia="Sylfaen" w:hAnsi="Sylfaen" w:cstheme="minorBidi"/>
          <w:sz w:val="24"/>
          <w:szCs w:val="24"/>
          <w:lang w:val="ka-GE"/>
        </w:rPr>
        <w:t>პროგრამით გათვალისწინებული ამბულატორიული პალიატიური მომსახურების მიწოდების ნაწილში პროგრამით განსაზღვრული როგორც 6 თვიანი ვადის დარღვევის</w:t>
      </w:r>
      <w:r w:rsidR="00DD3C78" w:rsidRPr="004D042E">
        <w:rPr>
          <w:rFonts w:ascii="Sylfaen" w:eastAsia="Sylfaen" w:hAnsi="Sylfaen" w:cstheme="minorBidi"/>
          <w:sz w:val="24"/>
          <w:szCs w:val="24"/>
          <w:lang w:val="ka-GE"/>
        </w:rPr>
        <w:t xml:space="preserve"> შესაძლებლობას</w:t>
      </w:r>
      <w:r w:rsidR="0013237E" w:rsidRPr="004D042E">
        <w:rPr>
          <w:rFonts w:ascii="Sylfaen" w:eastAsia="Sylfaen" w:hAnsi="Sylfaen" w:cstheme="minorBidi"/>
          <w:sz w:val="24"/>
          <w:szCs w:val="24"/>
          <w:lang w:val="ka-GE"/>
        </w:rPr>
        <w:t>,  ასევე თვეში დადგენილი მაქსიმალური 8 ვიზიტის გადაჭარბების შემთხვევების არსებობას</w:t>
      </w:r>
      <w:r>
        <w:rPr>
          <w:rFonts w:ascii="Sylfaen" w:eastAsia="Sylfaen" w:hAnsi="Sylfaen" w:cstheme="minorBidi"/>
          <w:sz w:val="24"/>
          <w:szCs w:val="24"/>
          <w:lang w:val="ka-GE"/>
        </w:rPr>
        <w:t>.</w:t>
      </w:r>
    </w:p>
    <w:p w:rsidR="002A7E81" w:rsidRPr="00DD4122" w:rsidRDefault="002A7E81" w:rsidP="002A7E81">
      <w:pPr>
        <w:spacing w:before="24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DD4122">
        <w:rPr>
          <w:rFonts w:ascii="Sylfaen" w:eastAsia="Sylfaen" w:hAnsi="Sylfaen"/>
          <w:sz w:val="24"/>
          <w:szCs w:val="24"/>
          <w:lang w:val="ka-GE"/>
        </w:rPr>
        <w:t xml:space="preserve">პროგრამით დადგენილი მაქსიმალური 8 ვიზიტის მოთხოვნის დაუცველობის შესახებ დაფიქსირებული შემთხვევის თაობაზე </w:t>
      </w:r>
      <w:r w:rsidRPr="00DD4122">
        <w:rPr>
          <w:rFonts w:ascii="Sylfaen" w:hAnsi="Sylfaen"/>
          <w:sz w:val="24"/>
          <w:szCs w:val="24"/>
          <w:lang w:val="ka-GE"/>
        </w:rPr>
        <w:t xml:space="preserve">სააგენტოს დირექტორის 2017 წლის 20 იანვრის </w:t>
      </w:r>
      <w:r w:rsidRPr="00DD4122">
        <w:rPr>
          <w:sz w:val="24"/>
          <w:szCs w:val="24"/>
        </w:rPr>
        <w:t>№ 04/3333</w:t>
      </w:r>
      <w:r w:rsidRPr="00DD4122">
        <w:rPr>
          <w:rFonts w:ascii="Sylfaen" w:hAnsi="Sylfaen"/>
          <w:sz w:val="24"/>
          <w:szCs w:val="24"/>
          <w:lang w:val="ka-GE"/>
        </w:rPr>
        <w:t xml:space="preserve"> წერილით წარმოდგენილი ინფორმაციის შესაბამისად, „პაციენტი აღრიცხვაზე იქნა აყვანილი 2015 წლის 21 დეკემბერს, ხოლო 2016 წლის 20 ივნისს მოხსნილი იქნა აღრიცხვიდან, პროგრამული მომსახურების ფარგლებში 6 თვიანი ვადის ამოწურვის გამო. ამრიგად, აღნიშნულ ბენეფიციარს ,,ამბულატორიული პალიატიური მომსახურების“ კომპონენტის ფარგლებში 6 თვეზე მეტი ვადით მომსახურება არ მიუღია“.</w:t>
      </w:r>
    </w:p>
    <w:p w:rsidR="002A7E81" w:rsidRPr="00DD4122" w:rsidRDefault="002A7E81" w:rsidP="002A7E81">
      <w:pPr>
        <w:spacing w:before="240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DD4122">
        <w:rPr>
          <w:rFonts w:ascii="Sylfaen" w:eastAsia="Sylfaen" w:hAnsi="Sylfaen"/>
          <w:sz w:val="24"/>
          <w:szCs w:val="24"/>
          <w:lang w:val="ka-GE"/>
        </w:rPr>
        <w:lastRenderedPageBreak/>
        <w:t>დადგენილების შესაბამისად, პროგრამის ინკურაბელურ პაციენტთა ამბულატორიული პალიატიური მზრუნველობის კომპონენტის ფარგლებში მომსახურების მიწოდების  მაქსიმალური ვადაა  6 თვე,  ხოლო თვეში დადგენილი მაქსიმალური  ვიზიტების ოდენობა შეადგენს 8-ს. ამდენად, კომპონენტის ფარგლებში მიწოდებული მომსახურების მაქსიმალური მოცულობა 48 ვიზიტია. წარმოდგენილ მიგნებაშ</w:t>
      </w:r>
      <w:r>
        <w:rPr>
          <w:rFonts w:ascii="Sylfaen" w:eastAsia="Sylfaen" w:hAnsi="Sylfaen"/>
          <w:sz w:val="24"/>
          <w:szCs w:val="24"/>
          <w:lang w:val="ka-GE"/>
        </w:rPr>
        <w:t>ი</w:t>
      </w:r>
      <w:r w:rsidRPr="00DD4122">
        <w:rPr>
          <w:rFonts w:ascii="Sylfaen" w:eastAsia="Sylfaen" w:hAnsi="Sylfaen"/>
          <w:sz w:val="24"/>
          <w:szCs w:val="24"/>
          <w:lang w:val="ka-GE"/>
        </w:rPr>
        <w:t xml:space="preserve"> დაფიქსირებულ შემთხვევაში კომპონენტის ფარგლებში ანაზღაურებულია 53 ვიზიტის ღირებულება.</w:t>
      </w:r>
    </w:p>
    <w:p w:rsidR="002C0A9B" w:rsidRPr="00667335" w:rsidRDefault="002C0A9B" w:rsidP="006C3FC8">
      <w:pPr>
        <w:spacing w:before="240" w:after="0"/>
        <w:ind w:right="-31" w:firstLine="720"/>
        <w:jc w:val="both"/>
        <w:rPr>
          <w:rFonts w:ascii="Sylfaen" w:hAnsi="Sylfaen" w:cs="Sylfaen"/>
          <w:b/>
          <w:color w:val="17365D" w:themeColor="text2" w:themeShade="BF"/>
          <w:sz w:val="24"/>
          <w:szCs w:val="24"/>
          <w:u w:val="single"/>
          <w:lang w:val="ka-GE"/>
        </w:rPr>
      </w:pPr>
      <w:r w:rsidRPr="00667335">
        <w:rPr>
          <w:rFonts w:ascii="Sylfaen" w:hAnsi="Sylfaen" w:cs="Sylfaen"/>
          <w:b/>
          <w:color w:val="17365D" w:themeColor="text2" w:themeShade="BF"/>
          <w:sz w:val="24"/>
          <w:szCs w:val="24"/>
          <w:u w:val="single"/>
          <w:lang w:val="ka-GE"/>
        </w:rPr>
        <w:t>რეკომენდაცია:</w:t>
      </w:r>
    </w:p>
    <w:p w:rsidR="00495473" w:rsidRDefault="002A7E81" w:rsidP="002A7E81">
      <w:pPr>
        <w:spacing w:before="240" w:after="0"/>
        <w:ind w:right="-31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2A7E81">
        <w:rPr>
          <w:rFonts w:ascii="Sylfaen" w:hAnsi="Sylfaen" w:cs="Sylfaen"/>
          <w:b/>
          <w:sz w:val="24"/>
          <w:szCs w:val="24"/>
          <w:lang w:val="ka-GE"/>
        </w:rPr>
        <w:t>1.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495473" w:rsidRPr="002A7E81">
        <w:rPr>
          <w:rFonts w:ascii="Sylfaen" w:hAnsi="Sylfaen" w:cs="Sylfaen"/>
          <w:b/>
          <w:sz w:val="24"/>
          <w:szCs w:val="24"/>
          <w:lang w:val="ka-GE"/>
        </w:rPr>
        <w:t>სააგენტო</w:t>
      </w:r>
      <w:r w:rsidR="004D042E" w:rsidRPr="002A7E81">
        <w:rPr>
          <w:rFonts w:ascii="Sylfaen" w:hAnsi="Sylfaen" w:cs="Sylfaen"/>
          <w:b/>
          <w:sz w:val="24"/>
          <w:szCs w:val="24"/>
          <w:lang w:val="ka-GE"/>
        </w:rPr>
        <w:t>მ უზრუნველყოს პროგრამის ზედამხედველობის სისტემი</w:t>
      </w:r>
      <w:r w:rsidR="00A654DB" w:rsidRPr="002A7E81">
        <w:rPr>
          <w:rFonts w:ascii="Sylfaen" w:hAnsi="Sylfaen" w:cs="Sylfaen"/>
          <w:b/>
          <w:sz w:val="24"/>
          <w:szCs w:val="24"/>
          <w:lang w:val="ka-GE"/>
        </w:rPr>
        <w:t>ს</w:t>
      </w:r>
      <w:r w:rsidR="004D042E" w:rsidRPr="002A7E81">
        <w:rPr>
          <w:rFonts w:ascii="Sylfaen" w:hAnsi="Sylfaen" w:cs="Sylfaen"/>
          <w:b/>
          <w:sz w:val="24"/>
          <w:szCs w:val="24"/>
          <w:lang w:val="ka-GE"/>
        </w:rPr>
        <w:t xml:space="preserve"> დახვეწა, რათა  გამოირიცხოს </w:t>
      </w:r>
      <w:r w:rsidR="004D042E" w:rsidRPr="002A7E81">
        <w:rPr>
          <w:rFonts w:ascii="Sylfaen" w:eastAsia="Sylfaen" w:hAnsi="Sylfaen"/>
          <w:b/>
          <w:sz w:val="24"/>
          <w:szCs w:val="24"/>
          <w:lang w:val="ka-GE"/>
        </w:rPr>
        <w:t xml:space="preserve">ამბულატორიული პალიატიური მომსახურების მიწოდების  როგორც 6 თვიანი ვადის,  ასევე თვეში დადგენილი მაქსიმალური 8 ვიზიტის </w:t>
      </w:r>
      <w:r w:rsidR="004D042E" w:rsidRPr="002A7E81">
        <w:rPr>
          <w:rFonts w:ascii="Sylfaen" w:hAnsi="Sylfaen" w:cs="Sylfaen"/>
          <w:b/>
          <w:sz w:val="24"/>
          <w:szCs w:val="24"/>
          <w:lang w:val="ka-GE"/>
        </w:rPr>
        <w:t>მო</w:t>
      </w:r>
      <w:r>
        <w:rPr>
          <w:rFonts w:ascii="Sylfaen" w:hAnsi="Sylfaen" w:cs="Sylfaen"/>
          <w:b/>
          <w:sz w:val="24"/>
          <w:szCs w:val="24"/>
          <w:lang w:val="ka-GE"/>
        </w:rPr>
        <w:t>თხოვნათა დარღვევის შესაძლებლობა;</w:t>
      </w:r>
    </w:p>
    <w:p w:rsidR="002A7E81" w:rsidRPr="002A7E81" w:rsidRDefault="002A7E81" w:rsidP="002A7E81">
      <w:pPr>
        <w:spacing w:before="24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2A7E81">
        <w:rPr>
          <w:rFonts w:ascii="Sylfaen" w:hAnsi="Sylfaen" w:cs="Sylfaen"/>
          <w:b/>
          <w:sz w:val="24"/>
          <w:szCs w:val="24"/>
          <w:lang w:val="ka-GE"/>
        </w:rPr>
        <w:t>2.</w:t>
      </w:r>
      <w:r w:rsidRPr="002A7E81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DD4122">
        <w:rPr>
          <w:rFonts w:ascii="Sylfaen" w:eastAsia="Sylfaen" w:hAnsi="Sylfaen"/>
          <w:sz w:val="24"/>
          <w:szCs w:val="24"/>
          <w:lang w:val="ka-GE"/>
        </w:rPr>
        <w:t>ვინაიდან სააგენტოს მიერ პროგრამის პირობებით განსაზღვრული მოთხოვნები ვადებისა და ვიზიტების შესახებ ინტერპრეტირებულია იმგვარად, რომ მომსახურების მოცულობას,</w:t>
      </w:r>
      <w:r>
        <w:rPr>
          <w:rFonts w:ascii="Sylfaen" w:eastAsia="Sylfaen" w:hAnsi="Sylfaen"/>
          <w:sz w:val="24"/>
          <w:szCs w:val="24"/>
          <w:lang w:val="ka-GE"/>
        </w:rPr>
        <w:t xml:space="preserve"> კერძოდ, ვიზიტების მაქსიმალურ ოდენობას,</w:t>
      </w:r>
      <w:r w:rsidRPr="00DD4122">
        <w:rPr>
          <w:rFonts w:ascii="Sylfaen" w:eastAsia="Sylfaen" w:hAnsi="Sylfaen"/>
          <w:sz w:val="24"/>
          <w:szCs w:val="24"/>
          <w:lang w:val="ka-GE"/>
        </w:rPr>
        <w:t xml:space="preserve"> 6-თვიანი ვადის დაცვის პირობებში, არ ექცევა სათანადო ყურადღება, </w:t>
      </w:r>
      <w:r w:rsidRPr="002A7E81">
        <w:rPr>
          <w:rFonts w:ascii="Sylfaen" w:hAnsi="Sylfaen" w:cs="Sylfaen"/>
          <w:b/>
          <w:sz w:val="24"/>
          <w:szCs w:val="24"/>
          <w:lang w:val="ka-GE"/>
        </w:rPr>
        <w:t>სამინისტროს ჯანმრთელობის დაცვის დეპარტამენტმა დააზუსტოს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2A7E81">
        <w:rPr>
          <w:rFonts w:ascii="Sylfaen" w:eastAsia="Sylfaen" w:hAnsi="Sylfaen"/>
          <w:b/>
          <w:sz w:val="24"/>
          <w:szCs w:val="24"/>
          <w:lang w:val="ka-GE"/>
        </w:rPr>
        <w:t>პროგრამის ინკურაბელურ პაციენტთა ამბულატორიული პალიატიური მზრუნველობის კომპონენტის ფარგლებში მომსახურების მაქსიმალური</w:t>
      </w:r>
      <w:r w:rsidRPr="002A7E81">
        <w:rPr>
          <w:rFonts w:ascii="Sylfaen" w:hAnsi="Sylfaen" w:cs="Sylfaen"/>
          <w:b/>
          <w:sz w:val="24"/>
          <w:szCs w:val="24"/>
          <w:lang w:val="ka-GE"/>
        </w:rPr>
        <w:t xml:space="preserve"> მოცულობ</w:t>
      </w:r>
      <w:r>
        <w:rPr>
          <w:rFonts w:ascii="Sylfaen" w:hAnsi="Sylfaen" w:cs="Sylfaen"/>
          <w:b/>
          <w:sz w:val="24"/>
          <w:szCs w:val="24"/>
          <w:lang w:val="ka-GE"/>
        </w:rPr>
        <w:t>ა.</w:t>
      </w:r>
    </w:p>
    <w:p w:rsidR="002A7E81" w:rsidRPr="002A7E81" w:rsidRDefault="002A7E81" w:rsidP="002A7E81">
      <w:pPr>
        <w:spacing w:before="240" w:after="0"/>
        <w:ind w:right="-31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4D042E" w:rsidRDefault="00495473" w:rsidP="002A7E81">
      <w:pPr>
        <w:spacing w:before="240" w:after="0"/>
        <w:ind w:right="-31"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4D042E" w:rsidRPr="004D042E">
        <w:rPr>
          <w:rFonts w:ascii="Sylfaen" w:hAnsi="Sylfaen"/>
          <w:b/>
          <w:sz w:val="24"/>
          <w:szCs w:val="24"/>
          <w:lang w:val="ka-GE"/>
        </w:rPr>
        <w:t xml:space="preserve">2. </w:t>
      </w:r>
      <w:r w:rsidR="00394BFB" w:rsidRPr="004D042E">
        <w:rPr>
          <w:rFonts w:ascii="Sylfaen" w:hAnsi="Sylfaen" w:cs="Sylfaen"/>
          <w:b/>
          <w:sz w:val="24"/>
          <w:szCs w:val="24"/>
          <w:lang w:val="ka-GE"/>
        </w:rPr>
        <w:t>ჯანმრთელობის დაცვის სახელმწიფო პროგრამების ფარგლებში დამდგარი სამედიცინო შემთხვევების შერჩევითი მონიტორინგის</w:t>
      </w:r>
      <w:r w:rsidR="00394BFB" w:rsidRPr="004D042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A1CD0" w:rsidRPr="004D042E">
        <w:rPr>
          <w:rFonts w:ascii="Sylfaen" w:hAnsi="Sylfaen"/>
          <w:b/>
          <w:sz w:val="24"/>
          <w:szCs w:val="24"/>
          <w:lang w:val="ka-GE"/>
        </w:rPr>
        <w:t>კანონმდებლობით დადგენილზე ნაკლები რაოდენობით</w:t>
      </w:r>
      <w:r w:rsidR="00EB5635" w:rsidRPr="004D042E">
        <w:rPr>
          <w:rFonts w:ascii="Sylfaen" w:hAnsi="Sylfaen"/>
          <w:b/>
          <w:sz w:val="24"/>
          <w:szCs w:val="24"/>
          <w:lang w:val="ka-GE"/>
        </w:rPr>
        <w:t xml:space="preserve"> განხორციელებ</w:t>
      </w:r>
      <w:r w:rsidR="00394BFB" w:rsidRPr="004D042E">
        <w:rPr>
          <w:rFonts w:ascii="Sylfaen" w:hAnsi="Sylfaen"/>
          <w:b/>
          <w:sz w:val="24"/>
          <w:szCs w:val="24"/>
          <w:lang w:val="ka-GE"/>
        </w:rPr>
        <w:t>ის შე</w:t>
      </w:r>
      <w:r w:rsidR="00EA1CD0" w:rsidRPr="004D042E">
        <w:rPr>
          <w:rFonts w:ascii="Sylfaen" w:hAnsi="Sylfaen"/>
          <w:b/>
          <w:sz w:val="24"/>
          <w:szCs w:val="24"/>
          <w:lang w:val="ka-GE"/>
        </w:rPr>
        <w:t>მთხ</w:t>
      </w:r>
      <w:r w:rsidR="00830D30">
        <w:rPr>
          <w:rFonts w:ascii="Sylfaen" w:hAnsi="Sylfaen"/>
          <w:b/>
          <w:sz w:val="24"/>
          <w:szCs w:val="24"/>
          <w:lang w:val="ka-GE"/>
        </w:rPr>
        <w:t>ვ</w:t>
      </w:r>
      <w:r w:rsidR="00EA1CD0" w:rsidRPr="004D042E">
        <w:rPr>
          <w:rFonts w:ascii="Sylfaen" w:hAnsi="Sylfaen"/>
          <w:b/>
          <w:sz w:val="24"/>
          <w:szCs w:val="24"/>
          <w:lang w:val="ka-GE"/>
        </w:rPr>
        <w:t>ევები</w:t>
      </w:r>
    </w:p>
    <w:p w:rsidR="006E0DAB" w:rsidRDefault="00EA1CD0" w:rsidP="006C3F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/>
        <w:ind w:firstLine="567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პროგრამის </w:t>
      </w:r>
      <w:r w:rsidR="00394BFB" w:rsidRPr="00394BFB">
        <w:rPr>
          <w:rFonts w:ascii="Sylfaen" w:hAnsi="Sylfaen"/>
          <w:sz w:val="24"/>
          <w:szCs w:val="24"/>
          <w:lang w:val="ka-GE"/>
        </w:rPr>
        <w:t xml:space="preserve">ინკურაბელურ პაციენტთა სტაციონარული-პალიატიური მზრუნველობის </w:t>
      </w:r>
      <w:r>
        <w:rPr>
          <w:rFonts w:ascii="Sylfaen" w:hAnsi="Sylfaen"/>
          <w:sz w:val="24"/>
          <w:szCs w:val="24"/>
          <w:lang w:val="ka-GE"/>
        </w:rPr>
        <w:t xml:space="preserve">კომპონენტით </w:t>
      </w:r>
      <w:proofErr w:type="spellStart"/>
      <w:r>
        <w:rPr>
          <w:rFonts w:ascii="Sylfaen" w:hAnsi="Sylfaen" w:cs="Sylfaen"/>
          <w:sz w:val="24"/>
          <w:szCs w:val="24"/>
        </w:rPr>
        <w:t>გათვალისწინებული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სტაციონარული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ზედამხედველობა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განისაზღვრება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გადაუდებელი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სამედიცინო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შემთხვევების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ზედამხედველობის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წესის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თანახმად</w:t>
      </w:r>
      <w:proofErr w:type="spellEnd"/>
      <w:r>
        <w:rPr>
          <w:rStyle w:val="FootnoteReference"/>
          <w:rFonts w:ascii="Sylfaen" w:hAnsi="Sylfaen" w:cs="Sylfaen"/>
          <w:sz w:val="24"/>
          <w:szCs w:val="24"/>
        </w:rPr>
        <w:footnoteReference w:id="9"/>
      </w:r>
      <w:r w:rsidR="004D042E">
        <w:rPr>
          <w:rFonts w:ascii="Sylfaen" w:hAnsi="Sylfaen" w:cs="Sylfaen"/>
          <w:sz w:val="24"/>
          <w:szCs w:val="24"/>
          <w:lang w:val="ka-GE"/>
        </w:rPr>
        <w:t xml:space="preserve">, რომელიც მოიცავს </w:t>
      </w:r>
      <w:proofErr w:type="spellStart"/>
      <w:r w:rsidR="004D042E" w:rsidRPr="00F75F73">
        <w:rPr>
          <w:rFonts w:ascii="Sylfaen" w:hAnsi="Sylfaen" w:cs="Sylfaen"/>
          <w:sz w:val="24"/>
          <w:szCs w:val="24"/>
        </w:rPr>
        <w:t>მონიტორინგ</w:t>
      </w:r>
      <w:proofErr w:type="spellEnd"/>
      <w:r w:rsidR="00F75F73" w:rsidRPr="00F75F73">
        <w:rPr>
          <w:rFonts w:ascii="Sylfaen" w:hAnsi="Sylfaen" w:cs="Sylfaen"/>
          <w:sz w:val="24"/>
          <w:szCs w:val="24"/>
          <w:lang w:val="ka-GE"/>
        </w:rPr>
        <w:t>ს</w:t>
      </w:r>
      <w:r w:rsidRPr="00F75F73">
        <w:rPr>
          <w:rStyle w:val="FootnoteReference"/>
          <w:rFonts w:ascii="Sylfaen" w:hAnsi="Sylfaen" w:cs="Sylfaen"/>
          <w:sz w:val="24"/>
          <w:szCs w:val="24"/>
        </w:rPr>
        <w:footnoteReference w:id="10"/>
      </w:r>
      <w:r w:rsidR="00F75F73" w:rsidRPr="00F75F73">
        <w:rPr>
          <w:rFonts w:ascii="Sylfaen" w:hAnsi="Sylfaen" w:cs="Sylfaen"/>
          <w:sz w:val="24"/>
          <w:szCs w:val="24"/>
          <w:lang w:val="ka-GE"/>
        </w:rPr>
        <w:t xml:space="preserve">. </w:t>
      </w:r>
      <w:proofErr w:type="spellStart"/>
      <w:proofErr w:type="gramStart"/>
      <w:r w:rsidR="006E0DAB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proofErr w:type="gramEnd"/>
      <w:r w:rsidR="006E0DA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DAB">
        <w:rPr>
          <w:rFonts w:ascii="Sylfaen" w:hAnsi="Sylfaen" w:cs="Sylfaen"/>
          <w:sz w:val="24"/>
          <w:szCs w:val="24"/>
        </w:rPr>
        <w:t>ზედამხედველობისთვის</w:t>
      </w:r>
      <w:proofErr w:type="spellEnd"/>
      <w:r w:rsidR="006E0DA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DAB">
        <w:rPr>
          <w:rFonts w:ascii="Sylfaen" w:hAnsi="Sylfaen" w:cs="Sylfaen"/>
          <w:sz w:val="24"/>
          <w:szCs w:val="24"/>
        </w:rPr>
        <w:t>გამოყენებული</w:t>
      </w:r>
      <w:proofErr w:type="spellEnd"/>
      <w:r w:rsidR="006E0DA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DAB">
        <w:rPr>
          <w:rFonts w:ascii="Sylfaen" w:hAnsi="Sylfaen" w:cs="Sylfaen"/>
          <w:sz w:val="24"/>
          <w:szCs w:val="24"/>
        </w:rPr>
        <w:t>წესები</w:t>
      </w:r>
      <w:proofErr w:type="spellEnd"/>
      <w:r w:rsidR="006E0DAB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6E0DAB">
        <w:rPr>
          <w:rFonts w:ascii="Sylfaen" w:hAnsi="Sylfaen" w:cs="Sylfaen"/>
          <w:sz w:val="24"/>
          <w:szCs w:val="24"/>
        </w:rPr>
        <w:t>ფორმები</w:t>
      </w:r>
      <w:proofErr w:type="spellEnd"/>
      <w:r w:rsidR="006E0DA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DAB">
        <w:rPr>
          <w:rFonts w:ascii="Sylfaen" w:hAnsi="Sylfaen" w:cs="Sylfaen"/>
          <w:sz w:val="24"/>
          <w:szCs w:val="24"/>
        </w:rPr>
        <w:t>და</w:t>
      </w:r>
      <w:proofErr w:type="spellEnd"/>
      <w:r w:rsidR="006E0DA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DAB">
        <w:rPr>
          <w:rFonts w:ascii="Sylfaen" w:hAnsi="Sylfaen" w:cs="Sylfaen"/>
          <w:sz w:val="24"/>
          <w:szCs w:val="24"/>
        </w:rPr>
        <w:t>მათი</w:t>
      </w:r>
      <w:proofErr w:type="spellEnd"/>
      <w:r w:rsidR="006E0DA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DAB">
        <w:rPr>
          <w:rFonts w:ascii="Sylfaen" w:hAnsi="Sylfaen" w:cs="Sylfaen"/>
          <w:sz w:val="24"/>
          <w:szCs w:val="24"/>
        </w:rPr>
        <w:t>შევსების</w:t>
      </w:r>
      <w:proofErr w:type="spellEnd"/>
      <w:r w:rsidR="006E0DA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6E0DAB">
        <w:rPr>
          <w:rFonts w:ascii="Sylfaen" w:hAnsi="Sylfaen" w:cs="Sylfaen"/>
          <w:sz w:val="24"/>
          <w:szCs w:val="24"/>
        </w:rPr>
        <w:t>ინსტრუქცია</w:t>
      </w:r>
      <w:proofErr w:type="spellEnd"/>
      <w:r w:rsidR="006E0DAB">
        <w:rPr>
          <w:rFonts w:ascii="Sylfaen" w:hAnsi="Sylfaen" w:cs="Sylfaen"/>
          <w:sz w:val="24"/>
          <w:szCs w:val="24"/>
        </w:rPr>
        <w:t xml:space="preserve"> </w:t>
      </w:r>
      <w:r w:rsidR="00F75F73">
        <w:rPr>
          <w:rFonts w:ascii="Sylfaen" w:hAnsi="Sylfaen" w:cs="Sylfaen"/>
          <w:sz w:val="24"/>
          <w:szCs w:val="24"/>
          <w:lang w:val="ka-GE"/>
        </w:rPr>
        <w:t>და</w:t>
      </w:r>
      <w:proofErr w:type="spellStart"/>
      <w:r w:rsidR="006E0DAB">
        <w:rPr>
          <w:rFonts w:ascii="Sylfaen" w:hAnsi="Sylfaen" w:cs="Sylfaen"/>
          <w:sz w:val="24"/>
          <w:szCs w:val="24"/>
        </w:rPr>
        <w:t>მტკიც</w:t>
      </w:r>
      <w:proofErr w:type="spellEnd"/>
      <w:r w:rsidR="00F75F73">
        <w:rPr>
          <w:rFonts w:ascii="Sylfaen" w:hAnsi="Sylfaen" w:cs="Sylfaen"/>
          <w:sz w:val="24"/>
          <w:szCs w:val="24"/>
          <w:lang w:val="ka-GE"/>
        </w:rPr>
        <w:t>ებულია</w:t>
      </w:r>
      <w:r w:rsidR="006E0DAB">
        <w:rPr>
          <w:rFonts w:ascii="Sylfaen" w:hAnsi="Sylfaen" w:cs="Sylfaen"/>
          <w:sz w:val="24"/>
          <w:szCs w:val="24"/>
        </w:rPr>
        <w:t xml:space="preserve"> </w:t>
      </w:r>
      <w:r w:rsidR="00F75F73">
        <w:rPr>
          <w:rFonts w:ascii="Sylfaen" w:hAnsi="Sylfaen" w:cs="Sylfaen"/>
          <w:sz w:val="24"/>
          <w:szCs w:val="24"/>
          <w:lang w:val="ka-GE"/>
        </w:rPr>
        <w:t>სააგენტოს მიერ</w:t>
      </w:r>
      <w:r w:rsidR="006E0DAB">
        <w:rPr>
          <w:rFonts w:ascii="Sylfaen" w:hAnsi="Sylfaen" w:cs="Sylfaen"/>
          <w:sz w:val="24"/>
          <w:szCs w:val="24"/>
        </w:rPr>
        <w:t>.</w:t>
      </w:r>
    </w:p>
    <w:p w:rsidR="004536A3" w:rsidRDefault="006E0DAB" w:rsidP="006C3F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>სამედიცინო შემთხვევების შერჩევითი მონიტორინგის წესი</w:t>
      </w:r>
      <w:r w:rsidR="00F75F73">
        <w:rPr>
          <w:rFonts w:ascii="Sylfaen" w:hAnsi="Sylfaen" w:cs="Sylfaen"/>
          <w:sz w:val="24"/>
          <w:szCs w:val="24"/>
          <w:lang w:val="ka-GE"/>
        </w:rPr>
        <w:t>ს</w:t>
      </w:r>
      <w:r>
        <w:rPr>
          <w:rStyle w:val="FootnoteReference"/>
          <w:rFonts w:ascii="Sylfaen" w:hAnsi="Sylfaen" w:cs="Sylfaen"/>
          <w:sz w:val="24"/>
          <w:szCs w:val="24"/>
          <w:lang w:val="ka-GE"/>
        </w:rPr>
        <w:footnoteReference w:id="11"/>
      </w:r>
      <w:r w:rsidR="00F75F73">
        <w:rPr>
          <w:rFonts w:ascii="Sylfaen" w:hAnsi="Sylfaen" w:cs="Sylfaen"/>
          <w:sz w:val="24"/>
          <w:szCs w:val="24"/>
          <w:lang w:val="ka-GE"/>
        </w:rPr>
        <w:t xml:space="preserve"> შესაბამისად, </w:t>
      </w:r>
      <w:r w:rsidR="004536A3">
        <w:rPr>
          <w:rFonts w:ascii="Sylfaen" w:hAnsi="Sylfaen" w:cs="Sylfaen"/>
          <w:sz w:val="24"/>
          <w:szCs w:val="24"/>
          <w:lang w:val="ka-GE"/>
        </w:rPr>
        <w:t>მონიტორინგს ექვემდებარება მიმწოდებლის</w:t>
      </w:r>
      <w:r w:rsidR="00F75F7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536A3">
        <w:rPr>
          <w:rFonts w:ascii="Sylfaen" w:hAnsi="Sylfaen" w:cs="Sylfaen"/>
          <w:sz w:val="24"/>
          <w:szCs w:val="24"/>
          <w:lang w:val="ka-GE"/>
        </w:rPr>
        <w:t>(ან მიმწოდებლების, ერთობლივად) მიერ ყოველდღიურად დაფიქსირებული ყოველი მე-5 შემთხვევა, თუ ყოველდღიურად დაფიქსირებული შემ</w:t>
      </w:r>
      <w:r w:rsidR="000E289B">
        <w:rPr>
          <w:rFonts w:ascii="Sylfaen" w:hAnsi="Sylfaen" w:cs="Sylfaen"/>
          <w:sz w:val="24"/>
          <w:szCs w:val="24"/>
          <w:lang w:val="ka-GE"/>
        </w:rPr>
        <w:t>თ</w:t>
      </w:r>
      <w:r w:rsidR="004536A3">
        <w:rPr>
          <w:rFonts w:ascii="Sylfaen" w:hAnsi="Sylfaen" w:cs="Sylfaen"/>
          <w:sz w:val="24"/>
          <w:szCs w:val="24"/>
          <w:lang w:val="ka-GE"/>
        </w:rPr>
        <w:t>ხვევების რაოდენობა აღემატება 10 ერთეულს</w:t>
      </w:r>
      <w:r w:rsidR="000E289B">
        <w:rPr>
          <w:rStyle w:val="FootnoteReference"/>
          <w:rFonts w:ascii="Sylfaen" w:hAnsi="Sylfaen" w:cs="Sylfaen"/>
          <w:sz w:val="24"/>
          <w:szCs w:val="24"/>
          <w:lang w:val="ka-GE"/>
        </w:rPr>
        <w:footnoteReference w:id="12"/>
      </w:r>
      <w:r w:rsidR="004536A3">
        <w:rPr>
          <w:rFonts w:ascii="Sylfaen" w:hAnsi="Sylfaen" w:cs="Sylfaen"/>
          <w:sz w:val="24"/>
          <w:szCs w:val="24"/>
          <w:lang w:val="ka-GE"/>
        </w:rPr>
        <w:t>.</w:t>
      </w:r>
      <w:r w:rsidR="00F75F7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536A3">
        <w:rPr>
          <w:rFonts w:ascii="Sylfaen" w:hAnsi="Sylfaen" w:cs="Sylfaen"/>
          <w:sz w:val="24"/>
          <w:szCs w:val="24"/>
          <w:lang w:val="ka-GE"/>
        </w:rPr>
        <w:t>თუ ყოველდღიურად დაფიქსირებული შემ</w:t>
      </w:r>
      <w:r w:rsidR="000E289B">
        <w:rPr>
          <w:rFonts w:ascii="Sylfaen" w:hAnsi="Sylfaen" w:cs="Sylfaen"/>
          <w:sz w:val="24"/>
          <w:szCs w:val="24"/>
          <w:lang w:val="ka-GE"/>
        </w:rPr>
        <w:t>თ</w:t>
      </w:r>
      <w:r w:rsidR="004536A3">
        <w:rPr>
          <w:rFonts w:ascii="Sylfaen" w:hAnsi="Sylfaen" w:cs="Sylfaen"/>
          <w:sz w:val="24"/>
          <w:szCs w:val="24"/>
          <w:lang w:val="ka-GE"/>
        </w:rPr>
        <w:t>ხვევების რაოდენობა არ აღემატება 10 ერთეულს, მონიტორინგს ექვემდებარება ყველა შემ</w:t>
      </w:r>
      <w:r w:rsidR="000E289B">
        <w:rPr>
          <w:rFonts w:ascii="Sylfaen" w:hAnsi="Sylfaen" w:cs="Sylfaen"/>
          <w:sz w:val="24"/>
          <w:szCs w:val="24"/>
          <w:lang w:val="ka-GE"/>
        </w:rPr>
        <w:t>თ</w:t>
      </w:r>
      <w:r w:rsidR="004536A3">
        <w:rPr>
          <w:rFonts w:ascii="Sylfaen" w:hAnsi="Sylfaen" w:cs="Sylfaen"/>
          <w:sz w:val="24"/>
          <w:szCs w:val="24"/>
          <w:lang w:val="ka-GE"/>
        </w:rPr>
        <w:t>ხვევა</w:t>
      </w:r>
      <w:r w:rsidR="000E289B">
        <w:rPr>
          <w:rStyle w:val="FootnoteReference"/>
          <w:rFonts w:ascii="Sylfaen" w:hAnsi="Sylfaen" w:cs="Sylfaen"/>
          <w:sz w:val="24"/>
          <w:szCs w:val="24"/>
          <w:lang w:val="ka-GE"/>
        </w:rPr>
        <w:footnoteReference w:id="13"/>
      </w:r>
      <w:r w:rsidR="004536A3">
        <w:rPr>
          <w:rFonts w:ascii="Sylfaen" w:hAnsi="Sylfaen" w:cs="Sylfaen"/>
          <w:sz w:val="24"/>
          <w:szCs w:val="24"/>
          <w:lang w:val="ka-GE"/>
        </w:rPr>
        <w:t>.</w:t>
      </w:r>
      <w:r w:rsidR="00F75F73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826C44" w:rsidRPr="00F75F73" w:rsidRDefault="00F75F73" w:rsidP="006C3F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2016 წლის აპრილის თვეში </w:t>
      </w:r>
      <w:r w:rsidR="00826C44">
        <w:rPr>
          <w:rFonts w:ascii="Sylfaen" w:hAnsi="Sylfaen" w:cs="Sylfaen"/>
          <w:sz w:val="24"/>
          <w:szCs w:val="24"/>
          <w:lang w:val="ka-GE"/>
        </w:rPr>
        <w:t>მიმწოდებლების მიერ გაკეთებულ</w:t>
      </w:r>
      <w:r w:rsidR="000B11E6">
        <w:rPr>
          <w:rFonts w:ascii="Sylfaen" w:hAnsi="Sylfaen" w:cs="Sylfaen"/>
          <w:sz w:val="24"/>
          <w:szCs w:val="24"/>
          <w:lang w:val="ka-GE"/>
        </w:rPr>
        <w:t>ი</w:t>
      </w:r>
      <w:r w:rsidR="00826C44">
        <w:rPr>
          <w:rFonts w:ascii="Sylfaen" w:hAnsi="Sylfaen" w:cs="Sylfaen"/>
          <w:sz w:val="24"/>
          <w:szCs w:val="24"/>
          <w:lang w:val="ka-GE"/>
        </w:rPr>
        <w:t xml:space="preserve"> შეტყობინებებ</w:t>
      </w:r>
      <w:r w:rsidR="000B11E6">
        <w:rPr>
          <w:rFonts w:ascii="Sylfaen" w:hAnsi="Sylfaen" w:cs="Sylfaen"/>
          <w:sz w:val="24"/>
          <w:szCs w:val="24"/>
          <w:lang w:val="ka-GE"/>
        </w:rPr>
        <w:t>ისა</w:t>
      </w:r>
      <w:r w:rsidR="00826C44">
        <w:rPr>
          <w:rFonts w:ascii="Sylfaen" w:hAnsi="Sylfaen" w:cs="Sylfaen"/>
          <w:sz w:val="24"/>
          <w:szCs w:val="24"/>
          <w:lang w:val="ka-GE"/>
        </w:rPr>
        <w:t xml:space="preserve"> და განხორციელებულ</w:t>
      </w:r>
      <w:r w:rsidR="000B11E6">
        <w:rPr>
          <w:rFonts w:ascii="Sylfaen" w:hAnsi="Sylfaen" w:cs="Sylfaen"/>
          <w:sz w:val="24"/>
          <w:szCs w:val="24"/>
          <w:lang w:val="ka-GE"/>
        </w:rPr>
        <w:t>ი</w:t>
      </w:r>
      <w:r w:rsidR="00826C44">
        <w:rPr>
          <w:rFonts w:ascii="Sylfaen" w:hAnsi="Sylfaen" w:cs="Sylfaen"/>
          <w:sz w:val="24"/>
          <w:szCs w:val="24"/>
          <w:lang w:val="ka-GE"/>
        </w:rPr>
        <w:t xml:space="preserve"> მონიტორინგის რაოდენობ</w:t>
      </w:r>
      <w:r w:rsidR="000B11E6">
        <w:rPr>
          <w:rFonts w:ascii="Sylfaen" w:hAnsi="Sylfaen" w:cs="Sylfaen"/>
          <w:sz w:val="24"/>
          <w:szCs w:val="24"/>
          <w:lang w:val="ka-GE"/>
        </w:rPr>
        <w:t>ებ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="000B11E6">
        <w:rPr>
          <w:rFonts w:ascii="Sylfaen" w:hAnsi="Sylfaen" w:cs="Sylfaen"/>
          <w:sz w:val="24"/>
          <w:szCs w:val="24"/>
          <w:lang w:val="ka-GE"/>
        </w:rPr>
        <w:t>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B11E6" w:rsidRPr="00F75F73">
        <w:rPr>
          <w:rFonts w:ascii="Sylfaen" w:hAnsi="Sylfaen" w:cs="Sylfaen"/>
          <w:sz w:val="24"/>
          <w:szCs w:val="24"/>
          <w:lang w:val="ka-GE"/>
        </w:rPr>
        <w:t>დამუშ</w:t>
      </w:r>
      <w:r w:rsidR="00826C44" w:rsidRPr="00F75F73">
        <w:rPr>
          <w:rFonts w:ascii="Sylfaen" w:hAnsi="Sylfaen" w:cs="Sylfaen"/>
          <w:sz w:val="24"/>
          <w:szCs w:val="24"/>
          <w:lang w:val="ka-GE"/>
        </w:rPr>
        <w:t>ავებით დაფიქსირდა ისეთი დღეები, როდესაც მონიტორინგი განხორციელდა არა ზემოაღნიშნული ბრძანებით განსაზღვრულ ყოველ მეხუთე</w:t>
      </w:r>
      <w:r w:rsidR="00475A9C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826C44" w:rsidRPr="00F75F73">
        <w:rPr>
          <w:rFonts w:ascii="Sylfaen" w:hAnsi="Sylfaen" w:cs="Sylfaen"/>
          <w:sz w:val="24"/>
          <w:szCs w:val="24"/>
          <w:lang w:val="ka-GE"/>
        </w:rPr>
        <w:t>არამედ უფრო</w:t>
      </w:r>
      <w:r w:rsidR="000B11E6" w:rsidRPr="00F75F73">
        <w:rPr>
          <w:rFonts w:ascii="Sylfaen" w:hAnsi="Sylfaen" w:cs="Sylfaen"/>
          <w:sz w:val="24"/>
          <w:szCs w:val="24"/>
          <w:lang w:val="ka-GE"/>
        </w:rPr>
        <w:t xml:space="preserve"> ნაკლებ შემთხვევებში.</w:t>
      </w:r>
    </w:p>
    <w:p w:rsidR="004536A3" w:rsidRDefault="00AA42B5" w:rsidP="006C3F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აღსანიშნავია, რომ სააგენტოს მიერ მოწოდებული ინფორმაციით, შესამოწმებელ პერიოდში ქვეყ</w:t>
      </w:r>
      <w:r w:rsidR="00BB54DA">
        <w:rPr>
          <w:rFonts w:ascii="Sylfaen" w:hAnsi="Sylfaen" w:cs="Sylfaen"/>
          <w:sz w:val="24"/>
          <w:szCs w:val="24"/>
          <w:lang w:val="ka-GE"/>
        </w:rPr>
        <w:t>ნ</w:t>
      </w:r>
      <w:r>
        <w:rPr>
          <w:rFonts w:ascii="Sylfaen" w:hAnsi="Sylfaen" w:cs="Sylfaen"/>
          <w:sz w:val="24"/>
          <w:szCs w:val="24"/>
          <w:lang w:val="ka-GE"/>
        </w:rPr>
        <w:t xml:space="preserve">ის მასშტაბით დაფიქსირებულია სულ  </w:t>
      </w:r>
      <w:r w:rsidR="00072903">
        <w:rPr>
          <w:rFonts w:ascii="Sylfaen" w:hAnsi="Sylfaen" w:cs="Sylfaen"/>
          <w:sz w:val="24"/>
          <w:szCs w:val="24"/>
          <w:lang w:val="ka-GE"/>
        </w:rPr>
        <w:t>89</w:t>
      </w:r>
      <w:r w:rsidR="004B1792">
        <w:rPr>
          <w:rFonts w:ascii="Sylfaen" w:hAnsi="Sylfaen" w:cs="Sylfaen"/>
          <w:sz w:val="24"/>
          <w:szCs w:val="24"/>
        </w:rPr>
        <w:t>3</w:t>
      </w:r>
      <w:r w:rsidR="00072903">
        <w:rPr>
          <w:rFonts w:ascii="Sylfaen" w:hAnsi="Sylfaen" w:cs="Sylfaen"/>
          <w:sz w:val="24"/>
          <w:szCs w:val="24"/>
          <w:lang w:val="ka-GE"/>
        </w:rPr>
        <w:t xml:space="preserve"> შეტყობინება </w:t>
      </w:r>
      <w:r w:rsidR="00072903" w:rsidRPr="00072903">
        <w:rPr>
          <w:rFonts w:ascii="Sylfaen" w:hAnsi="Sylfaen"/>
          <w:sz w:val="24"/>
          <w:szCs w:val="24"/>
          <w:lang w:val="ka-GE"/>
        </w:rPr>
        <w:t>ინკურაბელურ პაციენტთა სტაციონარული-პალიატიური მზრუნველობის კომპონენტის</w:t>
      </w:r>
      <w:r w:rsidR="00072903">
        <w:rPr>
          <w:rFonts w:ascii="Sylfaen" w:hAnsi="Sylfaen"/>
          <w:sz w:val="24"/>
          <w:szCs w:val="24"/>
          <w:lang w:val="ka-GE"/>
        </w:rPr>
        <w:t xml:space="preserve"> ფარგლებში</w:t>
      </w:r>
      <w:r w:rsidR="00072903" w:rsidRPr="00072903">
        <w:rPr>
          <w:rFonts w:ascii="Sylfaen" w:hAnsi="Sylfaen" w:cs="Sylfaen"/>
          <w:sz w:val="24"/>
          <w:szCs w:val="24"/>
          <w:lang w:val="ka-GE"/>
        </w:rPr>
        <w:t>,</w:t>
      </w:r>
      <w:r w:rsidR="00072903">
        <w:rPr>
          <w:rFonts w:ascii="Sylfaen" w:hAnsi="Sylfaen" w:cs="Sylfaen"/>
          <w:sz w:val="24"/>
          <w:szCs w:val="24"/>
          <w:lang w:val="ka-GE"/>
        </w:rPr>
        <w:t xml:space="preserve"> საიდანაც მონიტორინგი განხორციელდა 249 შემთხვევაზე.</w:t>
      </w:r>
    </w:p>
    <w:p w:rsidR="00DD4BCA" w:rsidRPr="00667335" w:rsidRDefault="00DD4BCA" w:rsidP="006C3F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0" w:lineRule="atLeast"/>
        <w:ind w:firstLine="720"/>
        <w:jc w:val="both"/>
        <w:rPr>
          <w:rFonts w:ascii="Sylfaen" w:hAnsi="Sylfaen" w:cs="Sylfaen"/>
          <w:b/>
          <w:color w:val="17365D" w:themeColor="text2" w:themeShade="BF"/>
          <w:sz w:val="24"/>
          <w:szCs w:val="24"/>
          <w:u w:val="single"/>
          <w:lang w:val="ka-GE"/>
        </w:rPr>
      </w:pPr>
      <w:r w:rsidRPr="00667335">
        <w:rPr>
          <w:rFonts w:ascii="Sylfaen" w:hAnsi="Sylfaen" w:cs="Sylfaen"/>
          <w:b/>
          <w:color w:val="17365D" w:themeColor="text2" w:themeShade="BF"/>
          <w:sz w:val="24"/>
          <w:szCs w:val="24"/>
          <w:u w:val="single"/>
          <w:lang w:val="ka-GE"/>
        </w:rPr>
        <w:t>რეკომენდაცია:</w:t>
      </w:r>
    </w:p>
    <w:p w:rsidR="00E921AF" w:rsidRPr="000473D0" w:rsidRDefault="00DD4BCA" w:rsidP="006C3F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0473D0">
        <w:rPr>
          <w:rFonts w:ascii="Sylfaen" w:hAnsi="Sylfaen" w:cs="Sylfaen"/>
          <w:b/>
          <w:sz w:val="24"/>
          <w:szCs w:val="24"/>
          <w:lang w:val="ka-GE"/>
        </w:rPr>
        <w:t xml:space="preserve">სააგენტოს </w:t>
      </w:r>
      <w:r w:rsidR="00084626" w:rsidRPr="000473D0">
        <w:rPr>
          <w:rFonts w:ascii="Sylfaen" w:hAnsi="Sylfaen" w:cs="Sylfaen"/>
          <w:b/>
          <w:sz w:val="24"/>
          <w:szCs w:val="24"/>
          <w:lang w:val="ka-GE"/>
        </w:rPr>
        <w:t xml:space="preserve">შესაბამისი ერთეულის </w:t>
      </w:r>
      <w:r w:rsidRPr="000473D0">
        <w:rPr>
          <w:rFonts w:ascii="Sylfaen" w:hAnsi="Sylfaen" w:cs="Sylfaen"/>
          <w:b/>
          <w:sz w:val="24"/>
          <w:szCs w:val="24"/>
          <w:lang w:val="ka-GE"/>
        </w:rPr>
        <w:t xml:space="preserve">მიერ </w:t>
      </w:r>
      <w:r w:rsidR="00F75F73" w:rsidRPr="000473D0">
        <w:rPr>
          <w:rFonts w:ascii="Sylfaen" w:hAnsi="Sylfaen" w:cs="Sylfaen"/>
          <w:b/>
          <w:sz w:val="24"/>
          <w:szCs w:val="24"/>
          <w:lang w:val="ka-GE"/>
        </w:rPr>
        <w:t>გამკაცრდეს ზედამხედველობა</w:t>
      </w:r>
      <w:r w:rsidRPr="000473D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E921AF" w:rsidRPr="000473D0">
        <w:rPr>
          <w:rFonts w:ascii="Sylfaen" w:hAnsi="Sylfaen"/>
          <w:b/>
          <w:sz w:val="24"/>
          <w:szCs w:val="24"/>
          <w:lang w:val="ka-GE"/>
        </w:rPr>
        <w:t xml:space="preserve">სააგენტოს დირექტორის 2016 წლის 27 იანვრის </w:t>
      </w:r>
      <w:r w:rsidR="00E921AF" w:rsidRPr="000473D0">
        <w:rPr>
          <w:rFonts w:ascii="Sylfaen" w:hAnsi="Sylfaen"/>
          <w:b/>
          <w:sz w:val="24"/>
          <w:szCs w:val="24"/>
          <w:lang w:val="ru-RU"/>
        </w:rPr>
        <w:t>№</w:t>
      </w:r>
      <w:r w:rsidR="00E921AF" w:rsidRPr="000473D0">
        <w:rPr>
          <w:rFonts w:ascii="Sylfaen" w:hAnsi="Sylfaen"/>
          <w:b/>
          <w:sz w:val="24"/>
          <w:szCs w:val="24"/>
          <w:lang w:val="ka-GE"/>
        </w:rPr>
        <w:t xml:space="preserve">04-34/ო ბრძანებით დამტკიცებული </w:t>
      </w:r>
      <w:r w:rsidR="00E921AF" w:rsidRPr="000473D0">
        <w:rPr>
          <w:rFonts w:ascii="Sylfaen" w:hAnsi="Sylfaen" w:cs="Sylfaen"/>
          <w:b/>
          <w:sz w:val="24"/>
          <w:szCs w:val="24"/>
          <w:lang w:val="ka-GE"/>
        </w:rPr>
        <w:t>ჯანმრთელობის დაცვის სახელმწიფო პროგრამების ფარგლებში დამდგარი სამედიცინო შემთხვევების შერჩევითი მონიტორინგის წესის</w:t>
      </w:r>
      <w:r w:rsidR="00475A9C" w:rsidRPr="000473D0">
        <w:rPr>
          <w:rFonts w:ascii="Sylfaen" w:hAnsi="Sylfaen" w:cs="Sylfaen"/>
          <w:b/>
          <w:sz w:val="24"/>
          <w:szCs w:val="24"/>
          <w:lang w:val="ka-GE"/>
        </w:rPr>
        <w:t xml:space="preserve"> მოთხოვნათა</w:t>
      </w:r>
      <w:r w:rsidR="00E921AF" w:rsidRPr="000473D0">
        <w:rPr>
          <w:rFonts w:ascii="Sylfaen" w:hAnsi="Sylfaen" w:cs="Sylfaen"/>
          <w:b/>
          <w:sz w:val="24"/>
          <w:szCs w:val="24"/>
          <w:lang w:val="ka-GE"/>
        </w:rPr>
        <w:t xml:space="preserve"> გან</w:t>
      </w:r>
      <w:r w:rsidR="00084626" w:rsidRPr="000473D0">
        <w:rPr>
          <w:rFonts w:ascii="Sylfaen" w:hAnsi="Sylfaen" w:cs="Sylfaen"/>
          <w:b/>
          <w:sz w:val="24"/>
          <w:szCs w:val="24"/>
          <w:lang w:val="ka-GE"/>
        </w:rPr>
        <w:t>უ</w:t>
      </w:r>
      <w:r w:rsidR="00475A9C" w:rsidRPr="000473D0">
        <w:rPr>
          <w:rFonts w:ascii="Sylfaen" w:hAnsi="Sylfaen" w:cs="Sylfaen"/>
          <w:b/>
          <w:sz w:val="24"/>
          <w:szCs w:val="24"/>
          <w:lang w:val="ka-GE"/>
        </w:rPr>
        <w:t>ხრელ</w:t>
      </w:r>
      <w:r w:rsidR="00E921AF" w:rsidRPr="000473D0">
        <w:rPr>
          <w:rFonts w:ascii="Sylfaen" w:hAnsi="Sylfaen" w:cs="Sylfaen"/>
          <w:b/>
          <w:sz w:val="24"/>
          <w:szCs w:val="24"/>
          <w:lang w:val="ka-GE"/>
        </w:rPr>
        <w:t xml:space="preserve"> დაცვა</w:t>
      </w:r>
      <w:r w:rsidR="00F75F73" w:rsidRPr="000473D0">
        <w:rPr>
          <w:rFonts w:ascii="Sylfaen" w:hAnsi="Sylfaen" w:cs="Sylfaen"/>
          <w:b/>
          <w:sz w:val="24"/>
          <w:szCs w:val="24"/>
          <w:lang w:val="ka-GE"/>
        </w:rPr>
        <w:t>ზე</w:t>
      </w:r>
      <w:r w:rsidR="00E921AF" w:rsidRPr="000473D0"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BB54DA" w:rsidRPr="000473D0" w:rsidRDefault="00BB54DA" w:rsidP="006C3F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E4BAF" w:rsidRPr="001A6020" w:rsidRDefault="00F75F73" w:rsidP="006C3FC8">
      <w:pPr>
        <w:spacing w:before="240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A6020">
        <w:rPr>
          <w:rFonts w:ascii="Sylfaen" w:hAnsi="Sylfaen" w:cs="Sylfaen"/>
          <w:b/>
          <w:sz w:val="24"/>
          <w:szCs w:val="24"/>
          <w:lang w:val="ka-GE"/>
        </w:rPr>
        <w:t xml:space="preserve">3. პროგრამით არ არის </w:t>
      </w:r>
      <w:r w:rsidR="001A6020" w:rsidRPr="001A6020">
        <w:rPr>
          <w:rFonts w:ascii="Sylfaen" w:hAnsi="Sylfaen" w:cs="Sylfaen"/>
          <w:b/>
          <w:sz w:val="24"/>
          <w:szCs w:val="24"/>
          <w:lang w:val="ka-GE"/>
        </w:rPr>
        <w:t>განსაზღვრული</w:t>
      </w:r>
      <w:r w:rsidR="000E4BAF" w:rsidRPr="001A602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1A6020">
        <w:rPr>
          <w:rFonts w:ascii="Sylfaen" w:hAnsi="Sylfaen" w:cs="Sylfaen"/>
          <w:b/>
          <w:sz w:val="24"/>
          <w:szCs w:val="24"/>
          <w:lang w:val="ka-GE"/>
        </w:rPr>
        <w:t>ინკურაბელურ პაციენტთა მედიკამენტებით უზრუნველყოფის კომპონენტ</w:t>
      </w:r>
      <w:r w:rsidR="001A6020" w:rsidRPr="001A6020">
        <w:rPr>
          <w:rFonts w:ascii="Sylfaen" w:hAnsi="Sylfaen" w:cs="Sylfaen"/>
          <w:b/>
          <w:sz w:val="24"/>
          <w:szCs w:val="24"/>
          <w:lang w:val="ka-GE"/>
        </w:rPr>
        <w:t>შ</w:t>
      </w:r>
      <w:r w:rsidRPr="001A6020">
        <w:rPr>
          <w:rFonts w:ascii="Sylfaen" w:hAnsi="Sylfaen" w:cs="Sylfaen"/>
          <w:b/>
          <w:sz w:val="24"/>
          <w:szCs w:val="24"/>
          <w:lang w:val="ka-GE"/>
        </w:rPr>
        <w:t xml:space="preserve">ი </w:t>
      </w:r>
      <w:r w:rsidR="001A6020" w:rsidRPr="001A6020">
        <w:rPr>
          <w:rFonts w:ascii="Sylfaen" w:hAnsi="Sylfaen" w:cs="Sylfaen"/>
          <w:b/>
          <w:sz w:val="24"/>
          <w:szCs w:val="24"/>
          <w:lang w:val="ka-GE"/>
        </w:rPr>
        <w:t>ხანგრძლივად ჩართული პაციენტების შემთხვევაში რისკების იდენტიფიცირების ვალდებულება</w:t>
      </w:r>
      <w:r w:rsidR="006C3FC8">
        <w:rPr>
          <w:rFonts w:ascii="Sylfaen" w:hAnsi="Sylfaen" w:cs="Sylfaen"/>
          <w:b/>
          <w:sz w:val="24"/>
          <w:szCs w:val="24"/>
          <w:lang w:val="ka-GE"/>
        </w:rPr>
        <w:t>, მედიკამენტის ს</w:t>
      </w:r>
      <w:r w:rsidR="001A6020" w:rsidRPr="001A6020">
        <w:rPr>
          <w:rFonts w:ascii="Sylfaen" w:hAnsi="Sylfaen" w:cs="Sylfaen"/>
          <w:b/>
          <w:sz w:val="24"/>
          <w:szCs w:val="24"/>
          <w:lang w:val="ka-GE"/>
        </w:rPr>
        <w:t>პეციფიკურობის გათვალისწინებით.</w:t>
      </w:r>
    </w:p>
    <w:p w:rsidR="00891052" w:rsidRDefault="000E4BAF" w:rsidP="006C3F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0E4BAF">
        <w:rPr>
          <w:rFonts w:ascii="Sylfaen" w:hAnsi="Sylfaen" w:cs="Sylfaen"/>
          <w:sz w:val="24"/>
          <w:szCs w:val="24"/>
          <w:lang w:val="ka-GE"/>
        </w:rPr>
        <w:t>პროგრამით გათვალისწინებულ ინკურაბელურ პაციენტთა მედიკამენტებით უზრუნველყოფა</w:t>
      </w:r>
      <w:r w:rsidR="00170FA7">
        <w:rPr>
          <w:rFonts w:ascii="Sylfaen" w:hAnsi="Sylfaen" w:cs="Sylfaen"/>
          <w:sz w:val="24"/>
          <w:szCs w:val="24"/>
          <w:lang w:val="ka-GE"/>
        </w:rPr>
        <w:t xml:space="preserve"> მოიცავს:</w:t>
      </w:r>
    </w:p>
    <w:p w:rsidR="00170FA7" w:rsidRPr="005D4DAA" w:rsidRDefault="00170FA7" w:rsidP="00A41A1F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0" w:lineRule="atLeast"/>
        <w:ind w:left="0" w:firstLine="0"/>
        <w:jc w:val="both"/>
        <w:rPr>
          <w:rFonts w:ascii="Sylfaen" w:hAnsi="Sylfaen" w:cs="Sylfaen"/>
          <w:sz w:val="24"/>
          <w:szCs w:val="24"/>
        </w:rPr>
      </w:pPr>
      <w:proofErr w:type="spellStart"/>
      <w:r w:rsidRPr="005D4DAA">
        <w:rPr>
          <w:rFonts w:ascii="Sylfaen" w:hAnsi="Sylfaen" w:cs="Sylfaen"/>
          <w:sz w:val="24"/>
          <w:szCs w:val="24"/>
        </w:rPr>
        <w:lastRenderedPageBreak/>
        <w:t>ნარკოტიკული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ტკივილგამაყუჩებელი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მედიკამენტებისა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და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საშუალებების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შესყიდვა</w:t>
      </w:r>
      <w:proofErr w:type="spellEnd"/>
      <w:r w:rsidRPr="005D4DAA">
        <w:rPr>
          <w:rFonts w:ascii="Sylfaen" w:hAnsi="Sylfaen" w:cs="Sylfaen"/>
          <w:sz w:val="24"/>
          <w:szCs w:val="24"/>
          <w:lang w:val="ka-GE"/>
        </w:rPr>
        <w:t>ს</w:t>
      </w:r>
      <w:r>
        <w:rPr>
          <w:rStyle w:val="FootnoteReference"/>
          <w:rFonts w:ascii="Sylfaen" w:hAnsi="Sylfaen" w:cs="Sylfaen"/>
          <w:sz w:val="24"/>
          <w:szCs w:val="24"/>
        </w:rPr>
        <w:footnoteReference w:id="14"/>
      </w:r>
      <w:r w:rsidRPr="005D4DAA">
        <w:rPr>
          <w:rFonts w:ascii="Sylfaen" w:hAnsi="Sylfaen" w:cs="Sylfaen"/>
          <w:sz w:val="24"/>
          <w:szCs w:val="24"/>
        </w:rPr>
        <w:t>;</w:t>
      </w:r>
    </w:p>
    <w:p w:rsidR="00170FA7" w:rsidRPr="005D4DAA" w:rsidRDefault="00170FA7" w:rsidP="00A41A1F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0" w:lineRule="atLeast"/>
        <w:ind w:left="0" w:firstLine="0"/>
        <w:jc w:val="both"/>
        <w:rPr>
          <w:rFonts w:ascii="Sylfaen" w:hAnsi="Sylfaen" w:cs="Sylfaen"/>
          <w:sz w:val="24"/>
          <w:szCs w:val="24"/>
        </w:rPr>
      </w:pPr>
      <w:proofErr w:type="spellStart"/>
      <w:r w:rsidRPr="005D4DAA">
        <w:rPr>
          <w:rFonts w:ascii="Sylfaen" w:hAnsi="Sylfaen" w:cs="Sylfaen"/>
          <w:sz w:val="24"/>
          <w:szCs w:val="24"/>
        </w:rPr>
        <w:t>ნარკოტიკული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საშუალების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გაცემის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დამადასტურებელი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ცნობისა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და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რეცეპტის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ფორმა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№1-ის </w:t>
      </w:r>
      <w:proofErr w:type="spellStart"/>
      <w:r w:rsidRPr="005D4DAA">
        <w:rPr>
          <w:rFonts w:ascii="Sylfaen" w:hAnsi="Sylfaen" w:cs="Sylfaen"/>
          <w:sz w:val="24"/>
          <w:szCs w:val="24"/>
        </w:rPr>
        <w:t>შესყიდვა</w:t>
      </w:r>
      <w:proofErr w:type="spellEnd"/>
      <w:r w:rsidRPr="005D4DAA">
        <w:rPr>
          <w:rFonts w:ascii="Sylfaen" w:hAnsi="Sylfaen" w:cs="Sylfaen"/>
          <w:sz w:val="24"/>
          <w:szCs w:val="24"/>
          <w:lang w:val="ka-GE"/>
        </w:rPr>
        <w:t>ს</w:t>
      </w:r>
      <w:r>
        <w:rPr>
          <w:rStyle w:val="FootnoteReference"/>
          <w:rFonts w:ascii="Sylfaen" w:hAnsi="Sylfaen" w:cs="Sylfaen"/>
          <w:sz w:val="24"/>
          <w:szCs w:val="24"/>
          <w:lang w:val="ka-GE"/>
        </w:rPr>
        <w:footnoteReference w:id="15"/>
      </w:r>
      <w:r w:rsidRPr="005D4DAA">
        <w:rPr>
          <w:rFonts w:ascii="Sylfaen" w:hAnsi="Sylfaen" w:cs="Sylfaen"/>
          <w:sz w:val="24"/>
          <w:szCs w:val="24"/>
        </w:rPr>
        <w:t>;</w:t>
      </w:r>
    </w:p>
    <w:p w:rsidR="00170FA7" w:rsidRPr="005D4DAA" w:rsidRDefault="00170FA7" w:rsidP="00A41A1F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0" w:lineRule="atLeast"/>
        <w:ind w:left="0" w:firstLine="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5D4DAA">
        <w:rPr>
          <w:rFonts w:ascii="Sylfaen" w:hAnsi="Sylfaen" w:cs="Sylfaen"/>
          <w:sz w:val="24"/>
          <w:szCs w:val="24"/>
        </w:rPr>
        <w:t>სპეციალური</w:t>
      </w:r>
      <w:proofErr w:type="spellEnd"/>
      <w:proofErr w:type="gram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სამკურნალო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საშუალებათა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ტრანსპორტირება</w:t>
      </w:r>
      <w:proofErr w:type="spellEnd"/>
      <w:r w:rsidRPr="005D4DAA">
        <w:rPr>
          <w:rFonts w:ascii="Sylfaen" w:hAnsi="Sylfaen" w:cs="Sylfaen"/>
          <w:sz w:val="24"/>
          <w:szCs w:val="24"/>
          <w:lang w:val="ka-GE"/>
        </w:rPr>
        <w:t>ს</w:t>
      </w:r>
      <w:r w:rsidRPr="005D4DA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5D4DAA">
        <w:rPr>
          <w:rFonts w:ascii="Sylfaen" w:hAnsi="Sylfaen" w:cs="Sylfaen"/>
          <w:sz w:val="24"/>
          <w:szCs w:val="24"/>
        </w:rPr>
        <w:t>შენახვა</w:t>
      </w:r>
      <w:proofErr w:type="spellEnd"/>
      <w:r w:rsidRPr="005D4DAA">
        <w:rPr>
          <w:rFonts w:ascii="Sylfaen" w:hAnsi="Sylfaen" w:cs="Sylfaen"/>
          <w:sz w:val="24"/>
          <w:szCs w:val="24"/>
          <w:lang w:val="ka-GE"/>
        </w:rPr>
        <w:t>ს</w:t>
      </w:r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და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გაცემა</w:t>
      </w:r>
      <w:proofErr w:type="spellEnd"/>
      <w:r w:rsidRPr="005D4DAA">
        <w:rPr>
          <w:rFonts w:ascii="Sylfaen" w:hAnsi="Sylfaen" w:cs="Sylfaen"/>
          <w:sz w:val="24"/>
          <w:szCs w:val="24"/>
          <w:lang w:val="ka-GE"/>
        </w:rPr>
        <w:t>ს</w:t>
      </w:r>
      <w:r w:rsidRPr="005D4DAA">
        <w:rPr>
          <w:rFonts w:ascii="Sylfaen" w:hAnsi="Sylfaen" w:cs="Sylfaen"/>
          <w:sz w:val="24"/>
          <w:szCs w:val="24"/>
        </w:rPr>
        <w:t xml:space="preserve"> - </w:t>
      </w:r>
      <w:proofErr w:type="spellStart"/>
      <w:r w:rsidRPr="005D4DAA">
        <w:rPr>
          <w:rFonts w:ascii="Sylfaen" w:hAnsi="Sylfaen" w:cs="Sylfaen"/>
          <w:sz w:val="24"/>
          <w:szCs w:val="24"/>
        </w:rPr>
        <w:t>სამკურნალო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საშუალებების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საბაჟო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ტერიტორიაზე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საქონლის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გაფორმების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ხარჯებ</w:t>
      </w:r>
      <w:proofErr w:type="spellEnd"/>
      <w:r w:rsidRPr="005D4DAA">
        <w:rPr>
          <w:rFonts w:ascii="Sylfaen" w:hAnsi="Sylfaen" w:cs="Sylfaen"/>
          <w:sz w:val="24"/>
          <w:szCs w:val="24"/>
          <w:lang w:val="ka-GE"/>
        </w:rPr>
        <w:t>ს</w:t>
      </w:r>
      <w:r w:rsidRPr="005D4DA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5D4DAA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5D4DAA">
        <w:rPr>
          <w:rFonts w:ascii="Sylfaen" w:hAnsi="Sylfaen" w:cs="Sylfaen"/>
          <w:sz w:val="24"/>
          <w:szCs w:val="24"/>
          <w:lang w:val="ka-GE"/>
        </w:rPr>
        <w:t>ს</w:t>
      </w:r>
      <w:r w:rsidRPr="005D4DA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5D4DAA">
        <w:rPr>
          <w:rFonts w:ascii="Sylfaen" w:hAnsi="Sylfaen" w:cs="Sylfaen"/>
          <w:sz w:val="24"/>
          <w:szCs w:val="24"/>
        </w:rPr>
        <w:t>შენახვა</w:t>
      </w:r>
      <w:proofErr w:type="spellEnd"/>
      <w:r w:rsidRPr="005D4DAA">
        <w:rPr>
          <w:rFonts w:ascii="Sylfaen" w:hAnsi="Sylfaen" w:cs="Sylfaen"/>
          <w:sz w:val="24"/>
          <w:szCs w:val="24"/>
          <w:lang w:val="ka-GE"/>
        </w:rPr>
        <w:t>ს</w:t>
      </w:r>
      <w:r w:rsidRPr="005D4DA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5D4DAA">
        <w:rPr>
          <w:rFonts w:ascii="Sylfaen" w:hAnsi="Sylfaen" w:cs="Sylfaen"/>
          <w:sz w:val="24"/>
          <w:szCs w:val="24"/>
        </w:rPr>
        <w:t>ტრანსპორტირება</w:t>
      </w:r>
      <w:proofErr w:type="spellEnd"/>
      <w:r w:rsidRPr="005D4DAA">
        <w:rPr>
          <w:rFonts w:ascii="Sylfaen" w:hAnsi="Sylfaen" w:cs="Sylfaen"/>
          <w:sz w:val="24"/>
          <w:szCs w:val="24"/>
          <w:lang w:val="ka-GE"/>
        </w:rPr>
        <w:t>ს</w:t>
      </w:r>
      <w:r w:rsidRPr="005D4DA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5D4DAA">
        <w:rPr>
          <w:rFonts w:ascii="Sylfaen" w:hAnsi="Sylfaen" w:cs="Sylfaen"/>
          <w:sz w:val="24"/>
          <w:szCs w:val="24"/>
        </w:rPr>
        <w:t>გაცემა</w:t>
      </w:r>
      <w:proofErr w:type="spellEnd"/>
      <w:r w:rsidRPr="005D4DAA">
        <w:rPr>
          <w:rFonts w:ascii="Sylfaen" w:hAnsi="Sylfaen" w:cs="Sylfaen"/>
          <w:sz w:val="24"/>
          <w:szCs w:val="24"/>
          <w:lang w:val="ka-GE"/>
        </w:rPr>
        <w:t>ს</w:t>
      </w:r>
      <w:r w:rsidRPr="005D4DA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5D4DAA">
        <w:rPr>
          <w:rFonts w:ascii="Sylfaen" w:hAnsi="Sylfaen" w:cs="Sylfaen"/>
          <w:sz w:val="24"/>
          <w:szCs w:val="24"/>
        </w:rPr>
        <w:t>ნარკოტიკული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საშუალებების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ადმინისტრაციულ-ტერიტორიულ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ერთეულებში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ტრანსპორტირება</w:t>
      </w:r>
      <w:proofErr w:type="spellEnd"/>
      <w:r w:rsidRPr="005D4DAA">
        <w:rPr>
          <w:rFonts w:ascii="Sylfaen" w:hAnsi="Sylfaen" w:cs="Sylfaen"/>
          <w:sz w:val="24"/>
          <w:szCs w:val="24"/>
          <w:lang w:val="ka-GE"/>
        </w:rPr>
        <w:t>ს</w:t>
      </w:r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5D4DA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4DAA">
        <w:rPr>
          <w:rFonts w:ascii="Sylfaen" w:hAnsi="Sylfaen" w:cs="Sylfaen"/>
          <w:sz w:val="24"/>
          <w:szCs w:val="24"/>
        </w:rPr>
        <w:t>თანხლებით</w:t>
      </w:r>
      <w:proofErr w:type="spellEnd"/>
      <w:r>
        <w:rPr>
          <w:rStyle w:val="FootnoteReference"/>
          <w:rFonts w:ascii="Sylfaen" w:hAnsi="Sylfaen" w:cs="Sylfaen"/>
          <w:sz w:val="24"/>
          <w:szCs w:val="24"/>
        </w:rPr>
        <w:footnoteReference w:id="16"/>
      </w:r>
      <w:r w:rsidRPr="005D4DAA">
        <w:rPr>
          <w:rFonts w:ascii="Sylfaen" w:hAnsi="Sylfaen" w:cs="Sylfaen"/>
          <w:sz w:val="24"/>
          <w:szCs w:val="24"/>
        </w:rPr>
        <w:t>.</w:t>
      </w:r>
    </w:p>
    <w:p w:rsidR="008F3D0B" w:rsidRPr="006C3FC8" w:rsidRDefault="008F3D0B" w:rsidP="006C3FC8">
      <w:pPr>
        <w:spacing w:before="240" w:after="0" w:line="240" w:lineRule="auto"/>
        <w:ind w:right="-31" w:firstLine="720"/>
        <w:jc w:val="both"/>
        <w:rPr>
          <w:rFonts w:ascii="Sylfaen" w:hAnsi="Sylfaen"/>
          <w:sz w:val="24"/>
          <w:szCs w:val="24"/>
        </w:rPr>
      </w:pPr>
      <w:r w:rsidRPr="006C3FC8">
        <w:rPr>
          <w:rFonts w:ascii="Sylfaen" w:hAnsi="Sylfaen"/>
          <w:sz w:val="24"/>
          <w:szCs w:val="24"/>
          <w:lang w:val="ka-GE"/>
        </w:rPr>
        <w:t>პროგრამის ხსენებული მედიკამ</w:t>
      </w:r>
      <w:r w:rsidR="00934C6D">
        <w:rPr>
          <w:rFonts w:ascii="Sylfaen" w:hAnsi="Sylfaen"/>
          <w:sz w:val="24"/>
          <w:szCs w:val="24"/>
          <w:lang w:val="ka-GE"/>
        </w:rPr>
        <w:t>ე</w:t>
      </w:r>
      <w:r w:rsidRPr="006C3FC8">
        <w:rPr>
          <w:rFonts w:ascii="Sylfaen" w:hAnsi="Sylfaen"/>
          <w:sz w:val="24"/>
          <w:szCs w:val="24"/>
          <w:lang w:val="ka-GE"/>
        </w:rPr>
        <w:t>ნტით უზრუნველყოფის კომპონენტის</w:t>
      </w:r>
      <w:r w:rsidRPr="006C3FC8">
        <w:rPr>
          <w:rFonts w:ascii="Times New Roman" w:hAnsi="Times New Roman"/>
          <w:sz w:val="24"/>
          <w:szCs w:val="24"/>
          <w:lang w:val="ka-GE"/>
        </w:rPr>
        <w:t xml:space="preserve"> </w:t>
      </w:r>
      <w:r w:rsidR="00645094" w:rsidRPr="006C3FC8">
        <w:rPr>
          <w:rFonts w:ascii="Sylfaen" w:hAnsi="Sylfaen"/>
          <w:sz w:val="24"/>
          <w:szCs w:val="24"/>
          <w:lang w:val="ka-GE"/>
        </w:rPr>
        <w:t xml:space="preserve">მართვას ახორციელებს </w:t>
      </w:r>
      <w:r w:rsidR="00206C3B" w:rsidRPr="006C3FC8">
        <w:rPr>
          <w:rFonts w:ascii="Sylfaen" w:hAnsi="Sylfaen"/>
          <w:sz w:val="24"/>
          <w:szCs w:val="24"/>
          <w:lang w:val="ka-GE"/>
        </w:rPr>
        <w:t xml:space="preserve">სააგენტოს </w:t>
      </w:r>
      <w:r w:rsidRPr="006C3FC8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Pr="006C3FC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6C3FC8">
        <w:rPr>
          <w:rFonts w:ascii="Sylfaen" w:hAnsi="Sylfaen" w:cs="Sylfaen"/>
          <w:sz w:val="24"/>
          <w:szCs w:val="24"/>
          <w:lang w:val="ka-GE"/>
        </w:rPr>
        <w:t>სპეციფიკური</w:t>
      </w:r>
      <w:r w:rsidRPr="006C3FC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6C3FC8">
        <w:rPr>
          <w:rFonts w:ascii="Sylfaen" w:hAnsi="Sylfaen" w:cs="Sylfaen"/>
          <w:sz w:val="24"/>
          <w:szCs w:val="24"/>
          <w:lang w:val="ka-GE"/>
        </w:rPr>
        <w:t>მედიკამენტებით</w:t>
      </w:r>
      <w:r w:rsidRPr="006C3FC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6C3FC8">
        <w:rPr>
          <w:rFonts w:ascii="Sylfaen" w:hAnsi="Sylfaen" w:cs="Sylfaen"/>
          <w:sz w:val="24"/>
          <w:szCs w:val="24"/>
          <w:lang w:val="ka-GE"/>
        </w:rPr>
        <w:t>უზრუნველყოფის</w:t>
      </w:r>
      <w:r w:rsidRPr="006C3FC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6C3FC8">
        <w:rPr>
          <w:rFonts w:ascii="Sylfaen" w:hAnsi="Sylfaen" w:cs="Sylfaen"/>
          <w:sz w:val="24"/>
          <w:szCs w:val="24"/>
          <w:lang w:val="ka-GE"/>
        </w:rPr>
        <w:t>სამ</w:t>
      </w:r>
      <w:r w:rsidR="00D5006F" w:rsidRPr="006C3FC8">
        <w:rPr>
          <w:rFonts w:ascii="Sylfaen" w:hAnsi="Sylfaen" w:cs="Sylfaen"/>
          <w:sz w:val="24"/>
          <w:szCs w:val="24"/>
          <w:lang w:val="ka-GE"/>
        </w:rPr>
        <w:t>მ</w:t>
      </w:r>
      <w:r w:rsidRPr="006C3FC8">
        <w:rPr>
          <w:rFonts w:ascii="Sylfaen" w:hAnsi="Sylfaen" w:cs="Sylfaen"/>
          <w:sz w:val="24"/>
          <w:szCs w:val="24"/>
          <w:lang w:val="ka-GE"/>
        </w:rPr>
        <w:t>ართველო</w:t>
      </w:r>
      <w:r w:rsidR="005D4DAA" w:rsidRPr="006C3FC8">
        <w:rPr>
          <w:rFonts w:ascii="Sylfaen" w:hAnsi="Sylfaen"/>
          <w:sz w:val="24"/>
          <w:szCs w:val="24"/>
          <w:lang w:val="ka-GE"/>
        </w:rPr>
        <w:t xml:space="preserve">, რომლის ძირითადი ფუნქციებია </w:t>
      </w:r>
      <w:r w:rsidR="005D4DAA" w:rsidRPr="006C3FC8">
        <w:rPr>
          <w:rFonts w:ascii="Sylfaen" w:hAnsi="Sylfaen" w:cs="Sylfaen"/>
          <w:sz w:val="24"/>
          <w:szCs w:val="24"/>
          <w:lang w:val="ka-GE"/>
        </w:rPr>
        <w:t>პროგრამის ფარგლებში ანგარიშსწორებისა</w:t>
      </w:r>
      <w:r w:rsidR="005D4DAA" w:rsidRPr="006C3FC8">
        <w:rPr>
          <w:rFonts w:ascii="Times New Roman" w:hAnsi="Times New Roman"/>
          <w:sz w:val="24"/>
          <w:szCs w:val="24"/>
          <w:lang w:val="ka-GE"/>
        </w:rPr>
        <w:t xml:space="preserve"> </w:t>
      </w:r>
      <w:r w:rsidR="005D4DAA" w:rsidRPr="006C3FC8">
        <w:rPr>
          <w:rFonts w:ascii="Sylfaen" w:hAnsi="Sylfaen" w:cs="Sylfaen"/>
          <w:sz w:val="24"/>
          <w:szCs w:val="24"/>
          <w:lang w:val="ka-GE"/>
        </w:rPr>
        <w:t>და</w:t>
      </w:r>
      <w:r w:rsidR="005D4DAA" w:rsidRPr="006C3FC8">
        <w:rPr>
          <w:rFonts w:ascii="Times New Roman" w:hAnsi="Times New Roman"/>
          <w:sz w:val="24"/>
          <w:szCs w:val="24"/>
          <w:lang w:val="ka-GE"/>
        </w:rPr>
        <w:t xml:space="preserve"> </w:t>
      </w:r>
      <w:r w:rsidR="005D4DAA" w:rsidRPr="006C3FC8">
        <w:rPr>
          <w:rFonts w:ascii="Sylfaen" w:hAnsi="Sylfaen" w:cs="Sylfaen"/>
          <w:sz w:val="24"/>
          <w:szCs w:val="24"/>
          <w:lang w:val="ka-GE"/>
        </w:rPr>
        <w:t>მართვის</w:t>
      </w:r>
      <w:r w:rsidR="005D4DAA" w:rsidRPr="006C3FC8">
        <w:rPr>
          <w:rFonts w:ascii="Times New Roman" w:hAnsi="Times New Roman"/>
          <w:sz w:val="24"/>
          <w:szCs w:val="24"/>
          <w:lang w:val="ka-GE"/>
        </w:rPr>
        <w:t xml:space="preserve"> </w:t>
      </w:r>
      <w:r w:rsidR="005D4DAA" w:rsidRPr="006C3FC8">
        <w:rPr>
          <w:rFonts w:ascii="Sylfaen" w:hAnsi="Sylfaen" w:cs="Sylfaen"/>
          <w:sz w:val="24"/>
          <w:szCs w:val="24"/>
          <w:lang w:val="ka-GE"/>
        </w:rPr>
        <w:t>განხორციელება</w:t>
      </w:r>
      <w:r w:rsidR="005D4DAA" w:rsidRPr="006C3FC8">
        <w:rPr>
          <w:rStyle w:val="FootnoteReference"/>
          <w:rFonts w:ascii="Sylfaen" w:hAnsi="Sylfaen" w:cs="Sylfaen"/>
          <w:sz w:val="24"/>
          <w:szCs w:val="24"/>
          <w:lang w:val="ka-GE"/>
        </w:rPr>
        <w:footnoteReference w:id="17"/>
      </w:r>
      <w:r w:rsidR="005D4DAA" w:rsidRPr="006C3FC8">
        <w:rPr>
          <w:rFonts w:ascii="Sylfaen" w:hAnsi="Sylfaen" w:cs="Sylfaen"/>
          <w:sz w:val="24"/>
          <w:szCs w:val="24"/>
          <w:lang w:val="ka-GE"/>
        </w:rPr>
        <w:t>.</w:t>
      </w:r>
    </w:p>
    <w:p w:rsidR="005D4DAA" w:rsidRDefault="005D4DAA" w:rsidP="006C3FC8">
      <w:pPr>
        <w:spacing w:before="24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აღნიშნული პროგრამის ფარგლებში ნარკოტიკული საშუალებებით უზრუნველყოფის შესახებ </w:t>
      </w:r>
      <w:r w:rsidR="00C46500">
        <w:rPr>
          <w:rFonts w:ascii="Sylfaen" w:hAnsi="Sylfaen" w:cs="Sylfaen"/>
          <w:sz w:val="24"/>
          <w:szCs w:val="24"/>
          <w:lang w:val="ka-GE"/>
        </w:rPr>
        <w:t xml:space="preserve">ინფორმაციის ანალიზით </w:t>
      </w:r>
      <w:r w:rsidR="009D4FE7">
        <w:rPr>
          <w:rFonts w:ascii="Sylfaen" w:hAnsi="Sylfaen" w:cs="Sylfaen"/>
          <w:sz w:val="24"/>
          <w:szCs w:val="24"/>
          <w:lang w:val="ka-GE"/>
        </w:rPr>
        <w:t>ირკვევა</w:t>
      </w:r>
      <w:r w:rsidR="00C46500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9D4FE7">
        <w:rPr>
          <w:rFonts w:ascii="Sylfaen" w:hAnsi="Sylfaen" w:cs="Sylfaen"/>
          <w:sz w:val="24"/>
          <w:szCs w:val="24"/>
          <w:lang w:val="ka-GE"/>
        </w:rPr>
        <w:t>რომ არის</w:t>
      </w:r>
      <w:r w:rsidR="00C46500">
        <w:rPr>
          <w:rFonts w:ascii="Sylfaen" w:hAnsi="Sylfaen" w:cs="Sylfaen"/>
          <w:sz w:val="24"/>
          <w:szCs w:val="24"/>
          <w:lang w:val="ka-GE"/>
        </w:rPr>
        <w:t xml:space="preserve"> შემ</w:t>
      </w:r>
      <w:r w:rsidR="009D4FE7">
        <w:rPr>
          <w:rFonts w:ascii="Sylfaen" w:hAnsi="Sylfaen" w:cs="Sylfaen"/>
          <w:sz w:val="24"/>
          <w:szCs w:val="24"/>
          <w:lang w:val="ka-GE"/>
        </w:rPr>
        <w:t>თ</w:t>
      </w:r>
      <w:r w:rsidR="00C46500">
        <w:rPr>
          <w:rFonts w:ascii="Sylfaen" w:hAnsi="Sylfaen" w:cs="Sylfaen"/>
          <w:sz w:val="24"/>
          <w:szCs w:val="24"/>
          <w:lang w:val="ka-GE"/>
        </w:rPr>
        <w:t>ხვევები, როდესაც პაციენტი ნარკოტიკულ საშუალებე</w:t>
      </w:r>
      <w:r w:rsidR="004141AB">
        <w:rPr>
          <w:rFonts w:ascii="Sylfaen" w:hAnsi="Sylfaen" w:cs="Sylfaen"/>
          <w:sz w:val="24"/>
          <w:szCs w:val="24"/>
          <w:lang w:val="ka-GE"/>
        </w:rPr>
        <w:t>ბ</w:t>
      </w:r>
      <w:r w:rsidR="00C46500">
        <w:rPr>
          <w:rFonts w:ascii="Sylfaen" w:hAnsi="Sylfaen" w:cs="Sylfaen"/>
          <w:sz w:val="24"/>
          <w:szCs w:val="24"/>
          <w:lang w:val="ka-GE"/>
        </w:rPr>
        <w:t xml:space="preserve">ს </w:t>
      </w:r>
      <w:r w:rsidR="00DB3F7D">
        <w:rPr>
          <w:rFonts w:ascii="Sylfaen" w:hAnsi="Sylfaen" w:cs="Sylfaen"/>
          <w:sz w:val="24"/>
          <w:szCs w:val="24"/>
          <w:lang w:val="ka-GE"/>
        </w:rPr>
        <w:t>ი</w:t>
      </w:r>
      <w:r w:rsidR="00C46500">
        <w:rPr>
          <w:rFonts w:ascii="Sylfaen" w:hAnsi="Sylfaen" w:cs="Sylfaen"/>
          <w:sz w:val="24"/>
          <w:szCs w:val="24"/>
          <w:lang w:val="ka-GE"/>
        </w:rPr>
        <w:t>ღებს ერთ წელზე მეტი ვადით</w:t>
      </w:r>
      <w:r w:rsidR="000E4BA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DD4BCA">
        <w:rPr>
          <w:rFonts w:ascii="Sylfaen" w:hAnsi="Sylfaen" w:cs="Sylfaen"/>
          <w:sz w:val="24"/>
          <w:szCs w:val="24"/>
          <w:lang w:val="ka-GE"/>
        </w:rPr>
        <w:t xml:space="preserve">მათ შორის </w:t>
      </w:r>
      <w:r>
        <w:rPr>
          <w:rFonts w:ascii="Sylfaen" w:hAnsi="Sylfaen" w:cs="Sylfaen"/>
          <w:sz w:val="24"/>
          <w:szCs w:val="24"/>
          <w:lang w:val="ka-GE"/>
        </w:rPr>
        <w:t xml:space="preserve">- </w:t>
      </w:r>
      <w:r w:rsidR="009D4FE7" w:rsidRPr="005D4DAA">
        <w:rPr>
          <w:rFonts w:ascii="Sylfaen" w:hAnsi="Sylfaen" w:cs="Sylfaen"/>
          <w:b/>
          <w:sz w:val="24"/>
          <w:szCs w:val="24"/>
          <w:lang w:val="ka-GE"/>
        </w:rPr>
        <w:t xml:space="preserve">ოთხი </w:t>
      </w:r>
      <w:r w:rsidR="00DD4BCA" w:rsidRPr="005D4DAA">
        <w:rPr>
          <w:rFonts w:ascii="Sylfaen" w:hAnsi="Sylfaen" w:cs="Sylfaen"/>
          <w:b/>
          <w:sz w:val="24"/>
          <w:szCs w:val="24"/>
          <w:lang w:val="ka-GE"/>
        </w:rPr>
        <w:t xml:space="preserve">და მეტი </w:t>
      </w:r>
      <w:r w:rsidR="009D4FE7" w:rsidRPr="005D4DAA">
        <w:rPr>
          <w:rFonts w:ascii="Sylfaen" w:hAnsi="Sylfaen" w:cs="Sylfaen"/>
          <w:b/>
          <w:sz w:val="24"/>
          <w:szCs w:val="24"/>
          <w:lang w:val="ka-GE"/>
        </w:rPr>
        <w:t>წლი</w:t>
      </w:r>
      <w:r w:rsidR="00DD4BCA" w:rsidRPr="005D4DAA">
        <w:rPr>
          <w:rFonts w:ascii="Sylfaen" w:hAnsi="Sylfaen" w:cs="Sylfaen"/>
          <w:b/>
          <w:sz w:val="24"/>
          <w:szCs w:val="24"/>
          <w:lang w:val="ka-GE"/>
        </w:rPr>
        <w:t>თ.</w:t>
      </w:r>
      <w:r w:rsidR="004141AB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თუმცა</w:t>
      </w:r>
      <w:r w:rsidR="00D40F70">
        <w:rPr>
          <w:rFonts w:ascii="Sylfaen" w:hAnsi="Sylfaen" w:cs="Sylfaen"/>
          <w:sz w:val="24"/>
          <w:szCs w:val="24"/>
          <w:lang w:val="ka-GE"/>
        </w:rPr>
        <w:t>,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4FE7" w:rsidRPr="005D4DAA">
        <w:rPr>
          <w:rFonts w:ascii="Sylfaen" w:hAnsi="Sylfaen" w:cs="Sylfaen"/>
          <w:sz w:val="24"/>
          <w:szCs w:val="24"/>
          <w:lang w:val="ka-GE"/>
        </w:rPr>
        <w:t xml:space="preserve">როგორც საკითხის შესწავლით გაირკვა, </w:t>
      </w:r>
      <w:r w:rsidR="00012F9E" w:rsidRPr="005D4DAA">
        <w:rPr>
          <w:rFonts w:ascii="Sylfaen" w:hAnsi="Sylfaen" w:cs="Sylfaen"/>
          <w:sz w:val="24"/>
          <w:szCs w:val="24"/>
          <w:lang w:val="ka-GE"/>
        </w:rPr>
        <w:t xml:space="preserve">პროგრამაში </w:t>
      </w:r>
      <w:r w:rsidR="009D4FE7" w:rsidRPr="005D4DAA">
        <w:rPr>
          <w:rFonts w:ascii="Sylfaen" w:hAnsi="Sylfaen" w:cs="Sylfaen"/>
          <w:sz w:val="24"/>
          <w:szCs w:val="24"/>
          <w:lang w:val="ka-GE"/>
        </w:rPr>
        <w:t xml:space="preserve">ჩართული </w:t>
      </w:r>
      <w:r w:rsidR="004141AB" w:rsidRPr="005D4DAA">
        <w:rPr>
          <w:rFonts w:ascii="Sylfaen" w:hAnsi="Sylfaen" w:cs="Sylfaen"/>
          <w:sz w:val="24"/>
          <w:szCs w:val="24"/>
          <w:lang w:val="ka-GE"/>
        </w:rPr>
        <w:t xml:space="preserve">აღნიშნული კატეგორიის </w:t>
      </w:r>
      <w:r w:rsidR="009D4FE7" w:rsidRPr="005D4DAA">
        <w:rPr>
          <w:rFonts w:ascii="Sylfaen" w:hAnsi="Sylfaen" w:cs="Sylfaen"/>
          <w:sz w:val="24"/>
          <w:szCs w:val="24"/>
          <w:lang w:val="ka-GE"/>
        </w:rPr>
        <w:t>ბენ</w:t>
      </w:r>
      <w:r w:rsidR="00012F9E" w:rsidRPr="005D4DAA">
        <w:rPr>
          <w:rFonts w:ascii="Sylfaen" w:hAnsi="Sylfaen" w:cs="Sylfaen"/>
          <w:sz w:val="24"/>
          <w:szCs w:val="24"/>
          <w:lang w:val="ka-GE"/>
        </w:rPr>
        <w:t xml:space="preserve">ეფიციარების შემთხვევაში არ არის განსაზღვრული ზედამხედველობის რაიმე ეტაპი, რომელიც უზრუნველყოფს </w:t>
      </w:r>
      <w:r>
        <w:rPr>
          <w:rFonts w:ascii="Sylfaen" w:hAnsi="Sylfaen" w:cs="Sylfaen"/>
          <w:sz w:val="24"/>
          <w:szCs w:val="24"/>
          <w:lang w:val="ka-GE"/>
        </w:rPr>
        <w:t xml:space="preserve">მედიკამენტის კომპონენტით </w:t>
      </w:r>
      <w:r w:rsidR="004141AB" w:rsidRPr="005D4DAA">
        <w:rPr>
          <w:rFonts w:ascii="Sylfaen" w:hAnsi="Sylfaen" w:cs="Sylfaen"/>
          <w:sz w:val="24"/>
          <w:szCs w:val="24"/>
          <w:lang w:val="ka-GE"/>
        </w:rPr>
        <w:t>ხანგრძლივ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="004141AB" w:rsidRPr="005D4DAA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გამოყენების საჭიროების მხრივ ანალიზსა და რისკების გამოვლენას, </w:t>
      </w:r>
      <w:r w:rsidRPr="005D4DAA">
        <w:rPr>
          <w:rFonts w:ascii="Sylfaen" w:hAnsi="Sylfaen" w:cs="Sylfaen"/>
          <w:sz w:val="24"/>
          <w:szCs w:val="24"/>
          <w:lang w:val="ka-GE"/>
        </w:rPr>
        <w:t xml:space="preserve">მედიკამენტის </w:t>
      </w:r>
      <w:r w:rsidR="006C3FC8">
        <w:rPr>
          <w:rFonts w:ascii="Sylfaen" w:hAnsi="Sylfaen" w:cs="Sylfaen"/>
          <w:sz w:val="24"/>
          <w:szCs w:val="24"/>
          <w:lang w:val="ka-GE"/>
        </w:rPr>
        <w:t>ს</w:t>
      </w:r>
      <w:r w:rsidRPr="005D4DAA">
        <w:rPr>
          <w:rFonts w:ascii="Sylfaen" w:hAnsi="Sylfaen" w:cs="Sylfaen"/>
          <w:sz w:val="24"/>
          <w:szCs w:val="24"/>
          <w:lang w:val="ka-GE"/>
        </w:rPr>
        <w:t>პეციფიკურობის გათვალისწინებით.</w:t>
      </w:r>
    </w:p>
    <w:p w:rsidR="00DD4BCA" w:rsidRPr="00667335" w:rsidRDefault="00DD4BCA" w:rsidP="006C3FC8">
      <w:pPr>
        <w:spacing w:before="240"/>
        <w:ind w:firstLine="720"/>
        <w:jc w:val="both"/>
        <w:rPr>
          <w:rFonts w:ascii="Sylfaen" w:hAnsi="Sylfaen" w:cs="Sylfaen"/>
          <w:b/>
          <w:color w:val="17365D" w:themeColor="text2" w:themeShade="BF"/>
          <w:sz w:val="24"/>
          <w:szCs w:val="24"/>
          <w:u w:val="single"/>
          <w:lang w:val="ka-GE"/>
        </w:rPr>
      </w:pPr>
      <w:r w:rsidRPr="00667335">
        <w:rPr>
          <w:rFonts w:ascii="Sylfaen" w:hAnsi="Sylfaen" w:cs="Sylfaen"/>
          <w:b/>
          <w:color w:val="17365D" w:themeColor="text2" w:themeShade="BF"/>
          <w:sz w:val="24"/>
          <w:szCs w:val="24"/>
          <w:u w:val="single"/>
          <w:lang w:val="ka-GE"/>
        </w:rPr>
        <w:t>რეკომენდაცია:</w:t>
      </w:r>
    </w:p>
    <w:p w:rsidR="008C16B6" w:rsidRDefault="009642BA" w:rsidP="005D06A1">
      <w:pPr>
        <w:spacing w:before="240"/>
        <w:ind w:firstLine="720"/>
        <w:jc w:val="both"/>
        <w:rPr>
          <w:rFonts w:ascii="Sylfaen" w:hAnsi="Sylfaen" w:cs="Sylfaen"/>
          <w:b/>
          <w:sz w:val="24"/>
          <w:szCs w:val="24"/>
          <w:u w:val="single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სამინისტროს ჯანმრთელობის დაცვის დეპარტამენტმა, მომავალი წლის პროგრამის პროექტის შემუშავებისას გაითვალისწინოს </w:t>
      </w:r>
      <w:r w:rsidRPr="001A6020">
        <w:rPr>
          <w:rFonts w:ascii="Sylfaen" w:hAnsi="Sylfaen" w:cs="Sylfaen"/>
          <w:b/>
          <w:sz w:val="24"/>
          <w:szCs w:val="24"/>
          <w:lang w:val="ka-GE"/>
        </w:rPr>
        <w:t>ინკურაბელურ პაციენტთა მედიკამენტებით უზრუნველყოფის კომპონენტში ხანგრძლივად ჩართული პაციენტების შემთხვევაში რისკების იდენტიფიცირების ვალდებულება</w:t>
      </w:r>
      <w:r w:rsidR="006C3FC8">
        <w:rPr>
          <w:rFonts w:ascii="Sylfaen" w:hAnsi="Sylfaen" w:cs="Sylfaen"/>
          <w:b/>
          <w:sz w:val="24"/>
          <w:szCs w:val="24"/>
          <w:lang w:val="ka-GE"/>
        </w:rPr>
        <w:t>, მედიკამენტის ს</w:t>
      </w:r>
      <w:r w:rsidRPr="001A6020">
        <w:rPr>
          <w:rFonts w:ascii="Sylfaen" w:hAnsi="Sylfaen" w:cs="Sylfaen"/>
          <w:b/>
          <w:sz w:val="24"/>
          <w:szCs w:val="24"/>
          <w:lang w:val="ka-GE"/>
        </w:rPr>
        <w:t>პეციფიკურობის გათვალისწინებით</w:t>
      </w:r>
      <w:r>
        <w:rPr>
          <w:rFonts w:ascii="Sylfaen" w:hAnsi="Sylfaen" w:cs="Sylfaen"/>
          <w:b/>
          <w:sz w:val="24"/>
          <w:szCs w:val="24"/>
          <w:lang w:val="ka-GE"/>
        </w:rPr>
        <w:t>.</w:t>
      </w:r>
      <w:r w:rsidR="00DD4BCA" w:rsidRPr="006861C2">
        <w:rPr>
          <w:rFonts w:ascii="Sylfaen" w:hAnsi="Sylfaen" w:cs="Sylfaen"/>
          <w:b/>
          <w:sz w:val="24"/>
          <w:szCs w:val="24"/>
          <w:u w:val="single"/>
          <w:lang w:val="ka-GE"/>
        </w:rPr>
        <w:t xml:space="preserve"> </w:t>
      </w:r>
    </w:p>
    <w:sectPr w:rsidR="008C16B6" w:rsidSect="005B27CD">
      <w:headerReference w:type="default" r:id="rId10"/>
      <w:footerReference w:type="default" r:id="rId11"/>
      <w:pgSz w:w="12240" w:h="15840"/>
      <w:pgMar w:top="1260" w:right="850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D34" w:rsidRDefault="00B65D34" w:rsidP="0025198D">
      <w:pPr>
        <w:spacing w:after="0" w:line="240" w:lineRule="auto"/>
      </w:pPr>
      <w:r>
        <w:separator/>
      </w:r>
    </w:p>
  </w:endnote>
  <w:endnote w:type="continuationSeparator" w:id="0">
    <w:p w:rsidR="00B65D34" w:rsidRDefault="00B65D34" w:rsidP="0025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4DD" w:rsidRDefault="002D04DD">
    <w:pPr>
      <w:pStyle w:val="Footer"/>
      <w:jc w:val="right"/>
      <w:rPr>
        <w:rFonts w:ascii="Sylfaen" w:hAnsi="Sylfaen"/>
        <w:lang w:val="ka-GE"/>
      </w:rPr>
    </w:pPr>
  </w:p>
  <w:p w:rsidR="002D04DD" w:rsidRDefault="00B65D34">
    <w:pPr>
      <w:pStyle w:val="Footer"/>
      <w:jc w:val="right"/>
    </w:pPr>
    <w:sdt>
      <w:sdtPr>
        <w:id w:val="15929639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D04DD">
          <w:fldChar w:fldCharType="begin"/>
        </w:r>
        <w:r w:rsidR="002D04DD">
          <w:instrText xml:space="preserve"> PAGE   \* MERGEFORMAT </w:instrText>
        </w:r>
        <w:r w:rsidR="002D04DD">
          <w:fldChar w:fldCharType="separate"/>
        </w:r>
        <w:r w:rsidR="00A96C14">
          <w:rPr>
            <w:noProof/>
          </w:rPr>
          <w:t>5</w:t>
        </w:r>
        <w:r w:rsidR="002D04DD">
          <w:rPr>
            <w:noProof/>
          </w:rPr>
          <w:fldChar w:fldCharType="end"/>
        </w:r>
      </w:sdtContent>
    </w:sdt>
  </w:p>
  <w:p w:rsidR="005B27CD" w:rsidRDefault="005B27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D34" w:rsidRDefault="00B65D34" w:rsidP="0025198D">
      <w:pPr>
        <w:spacing w:after="0" w:line="240" w:lineRule="auto"/>
      </w:pPr>
      <w:r>
        <w:separator/>
      </w:r>
    </w:p>
  </w:footnote>
  <w:footnote w:type="continuationSeparator" w:id="0">
    <w:p w:rsidR="00B65D34" w:rsidRDefault="00B65D34" w:rsidP="0025198D">
      <w:pPr>
        <w:spacing w:after="0" w:line="240" w:lineRule="auto"/>
      </w:pPr>
      <w:r>
        <w:continuationSeparator/>
      </w:r>
    </w:p>
  </w:footnote>
  <w:footnote w:id="1">
    <w:p w:rsidR="00826C44" w:rsidRPr="00ED7887" w:rsidRDefault="00826C44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55694">
        <w:rPr>
          <w:rFonts w:ascii="Sylfaen" w:hAnsi="Sylfaen"/>
          <w:sz w:val="18"/>
          <w:szCs w:val="18"/>
          <w:lang w:val="ka-GE"/>
        </w:rPr>
        <w:t xml:space="preserve">დადგენილების </w:t>
      </w:r>
      <w:r w:rsidRPr="00055694">
        <w:rPr>
          <w:rFonts w:ascii="Sylfaen" w:eastAsia="Sylfaen" w:hAnsi="Sylfaen"/>
          <w:sz w:val="18"/>
          <w:szCs w:val="18"/>
          <w:lang w:val="ka-GE"/>
        </w:rPr>
        <w:t>დანართი №1</w:t>
      </w:r>
      <w:r>
        <w:rPr>
          <w:rFonts w:ascii="Sylfaen" w:eastAsia="Sylfaen" w:hAnsi="Sylfaen"/>
          <w:sz w:val="18"/>
          <w:szCs w:val="18"/>
          <w:lang w:val="ka-GE"/>
        </w:rPr>
        <w:t>6</w:t>
      </w:r>
      <w:r w:rsidRPr="00055694">
        <w:rPr>
          <w:rFonts w:ascii="Sylfaen" w:eastAsia="Sylfaen" w:hAnsi="Sylfaen"/>
          <w:sz w:val="18"/>
          <w:szCs w:val="18"/>
          <w:lang w:val="ka-GE"/>
        </w:rPr>
        <w:t>-ის</w:t>
      </w:r>
      <w:r>
        <w:rPr>
          <w:rFonts w:ascii="Sylfaen" w:eastAsia="Sylfaen" w:hAnsi="Sylfaen"/>
          <w:sz w:val="18"/>
          <w:szCs w:val="18"/>
          <w:lang w:val="ka-GE"/>
        </w:rPr>
        <w:t xml:space="preserve"> მ</w:t>
      </w:r>
      <w:r w:rsidRPr="00055694">
        <w:rPr>
          <w:rFonts w:ascii="Sylfaen" w:eastAsia="Sylfaen" w:hAnsi="Sylfaen"/>
          <w:sz w:val="18"/>
          <w:szCs w:val="18"/>
          <w:lang w:val="ka-GE"/>
        </w:rPr>
        <w:t>უხლი პირველი</w:t>
      </w:r>
    </w:p>
  </w:footnote>
  <w:footnote w:id="2">
    <w:p w:rsidR="00826C44" w:rsidRPr="00860B54" w:rsidRDefault="00826C44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55694">
        <w:rPr>
          <w:rFonts w:ascii="Sylfaen" w:hAnsi="Sylfaen"/>
          <w:sz w:val="18"/>
          <w:szCs w:val="18"/>
          <w:lang w:val="ka-GE"/>
        </w:rPr>
        <w:t xml:space="preserve">დადგენილების </w:t>
      </w:r>
      <w:r w:rsidRPr="00055694">
        <w:rPr>
          <w:rFonts w:ascii="Sylfaen" w:eastAsia="Sylfaen" w:hAnsi="Sylfaen"/>
          <w:sz w:val="18"/>
          <w:szCs w:val="18"/>
          <w:lang w:val="ka-GE"/>
        </w:rPr>
        <w:t>დანართი №1</w:t>
      </w:r>
      <w:r>
        <w:rPr>
          <w:rFonts w:ascii="Sylfaen" w:eastAsia="Sylfaen" w:hAnsi="Sylfaen"/>
          <w:sz w:val="18"/>
          <w:szCs w:val="18"/>
          <w:lang w:val="ka-GE"/>
        </w:rPr>
        <w:t>6</w:t>
      </w:r>
      <w:r w:rsidRPr="00055694">
        <w:rPr>
          <w:rFonts w:ascii="Sylfaen" w:eastAsia="Sylfaen" w:hAnsi="Sylfaen"/>
          <w:sz w:val="18"/>
          <w:szCs w:val="18"/>
          <w:lang w:val="ka-GE"/>
        </w:rPr>
        <w:t>-ის</w:t>
      </w:r>
      <w:r>
        <w:rPr>
          <w:rFonts w:ascii="Sylfaen" w:eastAsia="Sylfaen" w:hAnsi="Sylfaen"/>
          <w:sz w:val="18"/>
          <w:szCs w:val="18"/>
          <w:lang w:val="ka-GE"/>
        </w:rPr>
        <w:t xml:space="preserve"> მ</w:t>
      </w:r>
      <w:r w:rsidRPr="00055694">
        <w:rPr>
          <w:rFonts w:ascii="Sylfaen" w:eastAsia="Sylfaen" w:hAnsi="Sylfaen"/>
          <w:sz w:val="18"/>
          <w:szCs w:val="18"/>
          <w:lang w:val="ka-GE"/>
        </w:rPr>
        <w:t>უხლი</w:t>
      </w:r>
      <w:r>
        <w:rPr>
          <w:rFonts w:ascii="Sylfaen" w:eastAsia="Sylfaen" w:hAnsi="Sylfaen"/>
          <w:sz w:val="18"/>
          <w:szCs w:val="18"/>
          <w:lang w:val="ka-GE"/>
        </w:rPr>
        <w:t xml:space="preserve"> მეორე</w:t>
      </w:r>
    </w:p>
  </w:footnote>
  <w:footnote w:id="3">
    <w:p w:rsidR="00826C44" w:rsidRPr="00860B54" w:rsidRDefault="00826C44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55694">
        <w:rPr>
          <w:rFonts w:ascii="Sylfaen" w:hAnsi="Sylfaen"/>
          <w:sz w:val="18"/>
          <w:szCs w:val="18"/>
          <w:lang w:val="ka-GE"/>
        </w:rPr>
        <w:t xml:space="preserve">დადგენილების </w:t>
      </w:r>
      <w:r w:rsidRPr="00055694">
        <w:rPr>
          <w:rFonts w:ascii="Sylfaen" w:eastAsia="Sylfaen" w:hAnsi="Sylfaen"/>
          <w:sz w:val="18"/>
          <w:szCs w:val="18"/>
          <w:lang w:val="ka-GE"/>
        </w:rPr>
        <w:t>დანართი №1</w:t>
      </w:r>
      <w:r>
        <w:rPr>
          <w:rFonts w:ascii="Sylfaen" w:eastAsia="Sylfaen" w:hAnsi="Sylfaen"/>
          <w:sz w:val="18"/>
          <w:szCs w:val="18"/>
          <w:lang w:val="ka-GE"/>
        </w:rPr>
        <w:t>6</w:t>
      </w:r>
      <w:r w:rsidRPr="00055694">
        <w:rPr>
          <w:rFonts w:ascii="Sylfaen" w:eastAsia="Sylfaen" w:hAnsi="Sylfaen"/>
          <w:sz w:val="18"/>
          <w:szCs w:val="18"/>
          <w:lang w:val="ka-GE"/>
        </w:rPr>
        <w:t>-ის</w:t>
      </w:r>
      <w:r>
        <w:rPr>
          <w:rFonts w:ascii="Sylfaen" w:eastAsia="Sylfaen" w:hAnsi="Sylfaen"/>
          <w:sz w:val="18"/>
          <w:szCs w:val="18"/>
          <w:lang w:val="ka-GE"/>
        </w:rPr>
        <w:t xml:space="preserve"> მ</w:t>
      </w:r>
      <w:r w:rsidRPr="00055694">
        <w:rPr>
          <w:rFonts w:ascii="Sylfaen" w:eastAsia="Sylfaen" w:hAnsi="Sylfaen"/>
          <w:sz w:val="18"/>
          <w:szCs w:val="18"/>
          <w:lang w:val="ka-GE"/>
        </w:rPr>
        <w:t>უხლი</w:t>
      </w:r>
      <w:r>
        <w:rPr>
          <w:rFonts w:ascii="Sylfaen" w:eastAsia="Sylfaen" w:hAnsi="Sylfaen"/>
          <w:sz w:val="18"/>
          <w:szCs w:val="18"/>
          <w:lang w:val="ka-GE"/>
        </w:rPr>
        <w:t xml:space="preserve"> მესამე</w:t>
      </w:r>
    </w:p>
  </w:footnote>
  <w:footnote w:id="4">
    <w:p w:rsidR="00826C44" w:rsidRPr="00ED5D8C" w:rsidRDefault="00826C44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დადგენილების დანართი </w:t>
      </w:r>
      <w:r>
        <w:rPr>
          <w:rFonts w:ascii="Sylfaen" w:hAnsi="Sylfaen"/>
          <w:lang w:val="ru-RU"/>
        </w:rPr>
        <w:t>№</w:t>
      </w:r>
      <w:r>
        <w:rPr>
          <w:rFonts w:ascii="Sylfaen" w:hAnsi="Sylfaen"/>
          <w:lang w:val="ka-GE"/>
        </w:rPr>
        <w:t>16, მე-8 მუხლი</w:t>
      </w:r>
    </w:p>
  </w:footnote>
  <w:footnote w:id="5">
    <w:p w:rsidR="00826C44" w:rsidRPr="00BF4AE0" w:rsidRDefault="00826C44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დადგენილების დანართი </w:t>
      </w:r>
      <w:r>
        <w:rPr>
          <w:rFonts w:ascii="Sylfaen" w:hAnsi="Sylfaen"/>
          <w:lang w:val="ru-RU"/>
        </w:rPr>
        <w:t>№</w:t>
      </w:r>
      <w:r>
        <w:rPr>
          <w:rFonts w:ascii="Sylfaen" w:hAnsi="Sylfaen"/>
          <w:lang w:val="ka-GE"/>
        </w:rPr>
        <w:t>16-ის მე-9 მუხლის მე-2 პუნქტი</w:t>
      </w:r>
    </w:p>
  </w:footnote>
  <w:footnote w:id="6">
    <w:p w:rsidR="00826C44" w:rsidRPr="00377868" w:rsidRDefault="00826C44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დადგენილების დანართი </w:t>
      </w:r>
      <w:r>
        <w:rPr>
          <w:rFonts w:ascii="Sylfaen" w:hAnsi="Sylfaen"/>
          <w:lang w:val="ru-RU"/>
        </w:rPr>
        <w:t>№</w:t>
      </w:r>
      <w:r>
        <w:rPr>
          <w:rFonts w:ascii="Sylfaen" w:hAnsi="Sylfaen"/>
          <w:lang w:val="ka-GE"/>
        </w:rPr>
        <w:t>16-ის მე-9 მუხლის მე-4 პუნქტის ,,ბ“ ქვეპუნქტი</w:t>
      </w:r>
    </w:p>
  </w:footnote>
  <w:footnote w:id="7">
    <w:p w:rsidR="00826C44" w:rsidRPr="00891052" w:rsidRDefault="00826C44" w:rsidP="00446620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დადგენილების დანართი </w:t>
      </w:r>
      <w:r>
        <w:rPr>
          <w:rFonts w:ascii="Sylfaen" w:hAnsi="Sylfaen"/>
          <w:lang w:val="ru-RU"/>
        </w:rPr>
        <w:t>№</w:t>
      </w:r>
      <w:r>
        <w:rPr>
          <w:rFonts w:ascii="Sylfaen" w:hAnsi="Sylfaen"/>
          <w:lang w:val="ka-GE"/>
        </w:rPr>
        <w:t>16, მე-9 მუხლის მე-3 პუნქტი</w:t>
      </w:r>
    </w:p>
  </w:footnote>
  <w:footnote w:id="8">
    <w:p w:rsidR="000A505A" w:rsidRPr="00446620" w:rsidRDefault="000A505A" w:rsidP="000A505A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დადგენილების 21-ე მუხლის პირველი პუნქტი</w:t>
      </w:r>
    </w:p>
  </w:footnote>
  <w:footnote w:id="9">
    <w:p w:rsidR="00826C44" w:rsidRPr="00EA1CD0" w:rsidRDefault="00826C44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დადგენილების დანართი </w:t>
      </w:r>
      <w:r>
        <w:rPr>
          <w:rFonts w:ascii="Sylfaen" w:hAnsi="Sylfaen"/>
          <w:lang w:val="ru-RU"/>
        </w:rPr>
        <w:t>№</w:t>
      </w:r>
      <w:r>
        <w:rPr>
          <w:rFonts w:ascii="Sylfaen" w:hAnsi="Sylfaen"/>
          <w:lang w:val="ka-GE"/>
        </w:rPr>
        <w:t>16, მე-9 მუხლის მე-5 პუნქტი</w:t>
      </w:r>
    </w:p>
  </w:footnote>
  <w:footnote w:id="10">
    <w:p w:rsidR="00826C44" w:rsidRPr="00EA1CD0" w:rsidRDefault="00826C44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დადგენილების მე-19 მუხლის მე-2 პუნქტი </w:t>
      </w:r>
    </w:p>
  </w:footnote>
  <w:footnote w:id="11">
    <w:p w:rsidR="00826C44" w:rsidRPr="006E0DAB" w:rsidRDefault="00826C44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სააგენტოს დირექტორის 2016 წლის 27 იანვრის </w:t>
      </w:r>
      <w:r>
        <w:rPr>
          <w:rFonts w:ascii="Sylfaen" w:hAnsi="Sylfaen"/>
          <w:lang w:val="ru-RU"/>
        </w:rPr>
        <w:t>№</w:t>
      </w:r>
      <w:r>
        <w:rPr>
          <w:rFonts w:ascii="Sylfaen" w:hAnsi="Sylfaen"/>
          <w:lang w:val="ka-GE"/>
        </w:rPr>
        <w:t>04-34/ო ბრძანება</w:t>
      </w:r>
    </w:p>
  </w:footnote>
  <w:footnote w:id="12">
    <w:p w:rsidR="00826C44" w:rsidRPr="000E289B" w:rsidRDefault="00826C44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სააგენტოს დირექტორის 2016 წლის 27 იანვრის </w:t>
      </w:r>
      <w:r>
        <w:rPr>
          <w:rFonts w:ascii="Sylfaen" w:hAnsi="Sylfaen"/>
          <w:lang w:val="ru-RU"/>
        </w:rPr>
        <w:t>№</w:t>
      </w:r>
      <w:r>
        <w:rPr>
          <w:rFonts w:ascii="Sylfaen" w:hAnsi="Sylfaen"/>
          <w:lang w:val="ka-GE"/>
        </w:rPr>
        <w:t>04-34/ო ბრძანების დანართი 1, მე-5 მუხლი</w:t>
      </w:r>
    </w:p>
  </w:footnote>
  <w:footnote w:id="13">
    <w:p w:rsidR="00826C44" w:rsidRPr="000E289B" w:rsidRDefault="00826C44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rPr>
          <w:rFonts w:ascii="Sylfaen" w:hAnsi="Sylfaen"/>
          <w:lang w:val="ka-GE"/>
        </w:rPr>
        <w:t xml:space="preserve"> </w:t>
      </w:r>
      <w:r>
        <w:t xml:space="preserve"> </w:t>
      </w:r>
      <w:r>
        <w:rPr>
          <w:rFonts w:ascii="Sylfaen" w:hAnsi="Sylfaen"/>
          <w:lang w:val="ka-GE"/>
        </w:rPr>
        <w:t xml:space="preserve">სააგენტოს დირექტორის 2016 წლის 27 იანვრის </w:t>
      </w:r>
      <w:r>
        <w:rPr>
          <w:rFonts w:ascii="Sylfaen" w:hAnsi="Sylfaen"/>
          <w:lang w:val="ru-RU"/>
        </w:rPr>
        <w:t>№</w:t>
      </w:r>
      <w:r>
        <w:rPr>
          <w:rFonts w:ascii="Sylfaen" w:hAnsi="Sylfaen"/>
          <w:lang w:val="ka-GE"/>
        </w:rPr>
        <w:t>04-34/ო ბრძანების დანართი 1, მე-6 მუხლი</w:t>
      </w:r>
    </w:p>
  </w:footnote>
  <w:footnote w:id="14">
    <w:p w:rsidR="00826C44" w:rsidRPr="00170FA7" w:rsidRDefault="00826C44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დადგენილების დანართი </w:t>
      </w:r>
      <w:r>
        <w:rPr>
          <w:rFonts w:ascii="Sylfaen" w:hAnsi="Sylfaen"/>
          <w:lang w:val="ru-RU"/>
        </w:rPr>
        <w:t>№</w:t>
      </w:r>
      <w:r>
        <w:rPr>
          <w:rFonts w:ascii="Sylfaen" w:hAnsi="Sylfaen"/>
          <w:lang w:val="ka-GE"/>
        </w:rPr>
        <w:t>16, მე-3 მუხლის, გ პუნქტის გ.ა ქვეპუნქტი</w:t>
      </w:r>
    </w:p>
  </w:footnote>
  <w:footnote w:id="15">
    <w:p w:rsidR="00826C44" w:rsidRPr="00170FA7" w:rsidRDefault="00826C44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დადგენილების დანართი </w:t>
      </w:r>
      <w:r>
        <w:rPr>
          <w:rFonts w:ascii="Sylfaen" w:hAnsi="Sylfaen"/>
          <w:lang w:val="ru-RU"/>
        </w:rPr>
        <w:t>№</w:t>
      </w:r>
      <w:r>
        <w:rPr>
          <w:rFonts w:ascii="Sylfaen" w:hAnsi="Sylfaen"/>
          <w:lang w:val="ka-GE"/>
        </w:rPr>
        <w:t>16, მე-3 მუხლის, გ პუნქტის გ.ბ ქვეპუნქტი</w:t>
      </w:r>
    </w:p>
  </w:footnote>
  <w:footnote w:id="16">
    <w:p w:rsidR="00826C44" w:rsidRPr="00170FA7" w:rsidRDefault="00826C44" w:rsidP="00170FA7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დადგენილების დანართი </w:t>
      </w:r>
      <w:r>
        <w:rPr>
          <w:rFonts w:ascii="Sylfaen" w:hAnsi="Sylfaen"/>
          <w:lang w:val="ru-RU"/>
        </w:rPr>
        <w:t>№</w:t>
      </w:r>
      <w:r>
        <w:rPr>
          <w:rFonts w:ascii="Sylfaen" w:hAnsi="Sylfaen"/>
          <w:lang w:val="ka-GE"/>
        </w:rPr>
        <w:t>16, მე-3 მუხლის, გ პუნქტის გ.გ ქვეპუნქტი</w:t>
      </w:r>
    </w:p>
    <w:p w:rsidR="00826C44" w:rsidRPr="00170FA7" w:rsidRDefault="00826C44">
      <w:pPr>
        <w:pStyle w:val="FootnoteText"/>
        <w:rPr>
          <w:rFonts w:ascii="Sylfaen" w:hAnsi="Sylfaen"/>
          <w:lang w:val="ka-GE"/>
        </w:rPr>
      </w:pPr>
    </w:p>
  </w:footnote>
  <w:footnote w:id="17">
    <w:p w:rsidR="005D4DAA" w:rsidRPr="00645094" w:rsidRDefault="005D4DAA" w:rsidP="005D4DAA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სააგენტოს დებულების 34-ე მუხლის, მეორე პუნქტის ა ქვეპუნქტი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7CD" w:rsidRPr="005B27CD" w:rsidRDefault="005B27CD" w:rsidP="005B27CD">
    <w:pPr>
      <w:pStyle w:val="Header"/>
      <w:jc w:val="right"/>
      <w:rPr>
        <w:b/>
        <w:i/>
        <w:color w:val="365F91" w:themeColor="accent1" w:themeShade="BF"/>
        <w:sz w:val="24"/>
        <w:szCs w:val="24"/>
      </w:rPr>
    </w:pPr>
    <w:r w:rsidRPr="005B27CD">
      <w:rPr>
        <w:b/>
        <w:i/>
        <w:noProof/>
        <w:color w:val="4F81BD" w:themeColor="accent1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DEAFD8" wp14:editId="0D0CB01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041530" cy="1003564"/>
              <wp:effectExtent l="0" t="57150" r="35170" b="25136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41530" cy="1003564"/>
                        <a:chOff x="0" y="-40192"/>
                        <a:chExt cx="4041530" cy="1003564"/>
                      </a:xfrm>
                    </wpg:grpSpPr>
                    <wps:wsp>
                      <wps:cNvPr id="57" name="Straight Connector 57"/>
                      <wps:cNvCnPr/>
                      <wps:spPr>
                        <a:xfrm flipV="1">
                          <a:off x="459084" y="-40192"/>
                          <a:ext cx="3582446" cy="969053"/>
                        </a:xfrm>
                        <a:prstGeom prst="lin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2" name="Oval 62"/>
                      <wps:cNvSpPr/>
                      <wps:spPr>
                        <a:xfrm>
                          <a:off x="0" y="50242"/>
                          <a:ext cx="1014730" cy="91313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scene3d>
                          <a:camera prst="perspectiveContrastingRightFacing"/>
                          <a:lightRig rig="two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50000</wp14:pctWidth>
              </wp14:sizeRelH>
              <wp14:sizeRelV relativeFrom="topMargin">
                <wp14:pctHeight>100000</wp14:pctHeight>
              </wp14:sizeRelV>
            </wp:anchor>
          </w:drawing>
        </mc:Choice>
        <mc:Fallback>
          <w:pict>
            <v:group id="Group 63" o:spid="_x0000_s1026" style="position:absolute;margin-left:0;margin-top:0;width:318.25pt;height:79pt;z-index:251659264;mso-width-percent:500;mso-height-percent:1000;mso-position-horizontal:left;mso-position-horizontal-relative:page;mso-position-vertical:top;mso-position-vertical-relative:page;mso-width-percent:500;mso-height-percent:1000;mso-width-relative:margin;mso-height-relative:top-margin-area" coordorigin=",-401" coordsize="40415,1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">
              <v:line id="Straight Connector 57" o:spid="_x0000_s1027" style="position:absolute;flip:y;visibility:visible;mso-wrap-style:square" from="4590,-401" to="40415,9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e6R8UAAADbAAAADwAAAGRycy9kb3ducmV2LnhtbESP3WrCQBSE74W+w3IK3ohuYmmV1FWK&#10;qGiLBX8e4JA9+SHZsyG7avr2bkHwcpiZb5jZojO1uFLrSssK4lEEgji1uuRcwfm0Hk5BOI+ssbZM&#10;Cv7IwWL+0pthou2ND3Q9+lwECLsEFRTeN4mULi3IoBvZhjh4mW0N+iDbXOoWbwFuajmOog9psOSw&#10;UGBDy4LS6ngxCqr9IMvqt328+8WfLN5Q9b0dr5Tqv3ZfnyA8df4ZfrS3WsH7BP6/hB8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/e6R8UAAADbAAAADwAAAAAAAAAA&#10;AAAAAAChAgAAZHJzL2Rvd25yZXYueG1sUEsFBgAAAAAEAAQA+QAAAJMDAAAAAA==&#10;" filled="t" fillcolor="#95b3d7 [1940]" strokecolor="#95b3d7 [1940]">
                <v:fill color2="#95b3d7 [1940]" rotate="t" focusposition=".5,.5" focussize="" colors="0 #b7d0f1;.5 #d2e0f5;1 #e8effa" focus="100%" type="gradientRadial"/>
              </v:line>
              <v:oval id="Oval 62" o:spid="_x0000_s1028" style="position:absolute;top:502;width:10147;height:9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vGc8MA&#10;AADbAAAADwAAAGRycy9kb3ducmV2LnhtbESPQYvCMBSE7wv+h/AEb2uqQlerUUSQ6kFhVfD6bJ5t&#10;sXkpTdT6742wsMdhZr5hZovWVOJBjSstKxj0IxDEmdUl5wpOx/X3GITzyBory6TgRQ4W887XDBNt&#10;n/xLj4PPRYCwS1BB4X2dSOmyggy6vq2Jg3e1jUEfZJNL3eAzwE0lh1EUS4Mlh4UCa1oVlN0Od6Ng&#10;v0v3+iLPkzRuV8vBzzjdbEcjpXrddjkF4an1/+G/9kYriIfw+RJ+gJ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vGc8MAAADbAAAADwAAAAAAAAAAAAAAAACYAgAAZHJzL2Rv&#10;d25yZXYueG1sUEsFBgAAAAAEAAQA9QAAAIgDAAAAAA==&#10;" fillcolor="#95b3d7 [1940]" stroked="f" strokeweight="2pt">
                <v:fill color2="#95b3d7 [1940]" rotate="t" focusposition=".5,.5" focussize="" colors="0 #b7d0f1;.5 #d2e0f5;1 #e8effa" focus="100%" type="gradientRadial"/>
              </v:oval>
              <w10:wrap anchorx="page" anchory="page"/>
            </v:group>
          </w:pict>
        </mc:Fallback>
      </mc:AlternateContent>
    </w:r>
    <w:sdt>
      <w:sdtPr>
        <w:rPr>
          <w:b/>
          <w:i/>
          <w:color w:val="365F91" w:themeColor="accent1" w:themeShade="BF"/>
          <w:sz w:val="24"/>
          <w:szCs w:val="24"/>
        </w:rPr>
        <w:alias w:val="Title"/>
        <w:id w:val="7911663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roofErr w:type="spellStart"/>
        <w:proofErr w:type="gramStart"/>
        <w:r w:rsidRPr="005B27CD">
          <w:rPr>
            <w:rFonts w:ascii="Sylfaen" w:hAnsi="Sylfaen" w:cs="Sylfaen"/>
            <w:b/>
            <w:i/>
            <w:color w:val="365F91" w:themeColor="accent1" w:themeShade="BF"/>
            <w:sz w:val="24"/>
            <w:szCs w:val="24"/>
          </w:rPr>
          <w:t>შიდა</w:t>
        </w:r>
        <w:proofErr w:type="spellEnd"/>
        <w:proofErr w:type="gramEnd"/>
        <w:r w:rsidRPr="005B27CD">
          <w:rPr>
            <w:b/>
            <w:i/>
            <w:color w:val="365F91" w:themeColor="accent1" w:themeShade="BF"/>
            <w:sz w:val="24"/>
            <w:szCs w:val="24"/>
          </w:rPr>
          <w:t xml:space="preserve"> </w:t>
        </w:r>
        <w:proofErr w:type="spellStart"/>
        <w:r w:rsidRPr="005B27CD">
          <w:rPr>
            <w:rFonts w:ascii="Sylfaen" w:hAnsi="Sylfaen" w:cs="Sylfaen"/>
            <w:b/>
            <w:i/>
            <w:color w:val="365F91" w:themeColor="accent1" w:themeShade="BF"/>
            <w:sz w:val="24"/>
            <w:szCs w:val="24"/>
          </w:rPr>
          <w:t>აუდიტის</w:t>
        </w:r>
        <w:proofErr w:type="spellEnd"/>
        <w:r w:rsidRPr="005B27CD">
          <w:rPr>
            <w:b/>
            <w:i/>
            <w:color w:val="365F91" w:themeColor="accent1" w:themeShade="BF"/>
            <w:sz w:val="24"/>
            <w:szCs w:val="24"/>
          </w:rPr>
          <w:t xml:space="preserve"> </w:t>
        </w:r>
        <w:proofErr w:type="spellStart"/>
        <w:r w:rsidRPr="005B27CD">
          <w:rPr>
            <w:rFonts w:ascii="Sylfaen" w:hAnsi="Sylfaen" w:cs="Sylfaen"/>
            <w:b/>
            <w:i/>
            <w:color w:val="365F91" w:themeColor="accent1" w:themeShade="BF"/>
            <w:sz w:val="24"/>
            <w:szCs w:val="24"/>
          </w:rPr>
          <w:t>დეპარტამენტი</w:t>
        </w:r>
        <w:proofErr w:type="spellEnd"/>
      </w:sdtContent>
    </w:sdt>
  </w:p>
  <w:p w:rsidR="00826C44" w:rsidRPr="005B27CD" w:rsidRDefault="00826C44" w:rsidP="005B27CD">
    <w:pPr>
      <w:pStyle w:val="Header"/>
      <w:jc w:val="right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017E0"/>
    <w:multiLevelType w:val="hybridMultilevel"/>
    <w:tmpl w:val="5058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96652"/>
    <w:multiLevelType w:val="multilevel"/>
    <w:tmpl w:val="974CEDB8"/>
    <w:lvl w:ilvl="0">
      <w:start w:val="1"/>
      <w:numFmt w:val="decimal"/>
      <w:lvlText w:val="%1."/>
      <w:lvlJc w:val="left"/>
      <w:pPr>
        <w:ind w:left="1429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Sylfaen" w:hAnsi="Sylfaen" w:cs="Sylfaen" w:hint="default"/>
      </w:rPr>
    </w:lvl>
  </w:abstractNum>
  <w:abstractNum w:abstractNumId="2">
    <w:nsid w:val="4C551E33"/>
    <w:multiLevelType w:val="hybridMultilevel"/>
    <w:tmpl w:val="A0C2D7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D6194B"/>
    <w:multiLevelType w:val="hybridMultilevel"/>
    <w:tmpl w:val="C1E03530"/>
    <w:lvl w:ilvl="0" w:tplc="C6CAF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70"/>
    <w:rsid w:val="00003C73"/>
    <w:rsid w:val="00012DAE"/>
    <w:rsid w:val="00012F9E"/>
    <w:rsid w:val="00015CA1"/>
    <w:rsid w:val="00015E55"/>
    <w:rsid w:val="00022F41"/>
    <w:rsid w:val="000256D7"/>
    <w:rsid w:val="00037AC5"/>
    <w:rsid w:val="00041F90"/>
    <w:rsid w:val="0004576E"/>
    <w:rsid w:val="000463F6"/>
    <w:rsid w:val="000473D0"/>
    <w:rsid w:val="000547CC"/>
    <w:rsid w:val="00056C89"/>
    <w:rsid w:val="00062DAE"/>
    <w:rsid w:val="00072903"/>
    <w:rsid w:val="00073D3F"/>
    <w:rsid w:val="00077A9D"/>
    <w:rsid w:val="00084626"/>
    <w:rsid w:val="00084F25"/>
    <w:rsid w:val="000A505A"/>
    <w:rsid w:val="000A5510"/>
    <w:rsid w:val="000B11E6"/>
    <w:rsid w:val="000B191B"/>
    <w:rsid w:val="000C3BC3"/>
    <w:rsid w:val="000D377A"/>
    <w:rsid w:val="000E0ED3"/>
    <w:rsid w:val="000E289B"/>
    <w:rsid w:val="000E4BAF"/>
    <w:rsid w:val="000E58F1"/>
    <w:rsid w:val="000F2465"/>
    <w:rsid w:val="000F26D3"/>
    <w:rsid w:val="000F75F8"/>
    <w:rsid w:val="00103107"/>
    <w:rsid w:val="00112A04"/>
    <w:rsid w:val="00123928"/>
    <w:rsid w:val="00124B44"/>
    <w:rsid w:val="0013237E"/>
    <w:rsid w:val="00132C4D"/>
    <w:rsid w:val="001504A9"/>
    <w:rsid w:val="001534DE"/>
    <w:rsid w:val="0016314B"/>
    <w:rsid w:val="00165908"/>
    <w:rsid w:val="001660C2"/>
    <w:rsid w:val="00166B59"/>
    <w:rsid w:val="00170FA7"/>
    <w:rsid w:val="00172974"/>
    <w:rsid w:val="00173FEC"/>
    <w:rsid w:val="0017412A"/>
    <w:rsid w:val="00184591"/>
    <w:rsid w:val="0018625C"/>
    <w:rsid w:val="0019318A"/>
    <w:rsid w:val="00197C8A"/>
    <w:rsid w:val="001A1D28"/>
    <w:rsid w:val="001A2270"/>
    <w:rsid w:val="001A6020"/>
    <w:rsid w:val="001B1E81"/>
    <w:rsid w:val="001B43AE"/>
    <w:rsid w:val="001B69DE"/>
    <w:rsid w:val="001C5628"/>
    <w:rsid w:val="001C5A54"/>
    <w:rsid w:val="001D300A"/>
    <w:rsid w:val="001D5B82"/>
    <w:rsid w:val="001E1073"/>
    <w:rsid w:val="001E2287"/>
    <w:rsid w:val="001E4161"/>
    <w:rsid w:val="001F25C6"/>
    <w:rsid w:val="001F5AF8"/>
    <w:rsid w:val="002010DC"/>
    <w:rsid w:val="00203F38"/>
    <w:rsid w:val="00206C3B"/>
    <w:rsid w:val="00213C0B"/>
    <w:rsid w:val="002223CB"/>
    <w:rsid w:val="002306E3"/>
    <w:rsid w:val="00232A70"/>
    <w:rsid w:val="002346FF"/>
    <w:rsid w:val="00247F8F"/>
    <w:rsid w:val="002512D6"/>
    <w:rsid w:val="0025198D"/>
    <w:rsid w:val="00254F3B"/>
    <w:rsid w:val="00261133"/>
    <w:rsid w:val="002708DC"/>
    <w:rsid w:val="0027398A"/>
    <w:rsid w:val="00275355"/>
    <w:rsid w:val="00285473"/>
    <w:rsid w:val="00290035"/>
    <w:rsid w:val="00292E03"/>
    <w:rsid w:val="00295DE0"/>
    <w:rsid w:val="002A23DA"/>
    <w:rsid w:val="002A7E81"/>
    <w:rsid w:val="002B3989"/>
    <w:rsid w:val="002C05B3"/>
    <w:rsid w:val="002C0A9B"/>
    <w:rsid w:val="002C2259"/>
    <w:rsid w:val="002D04DD"/>
    <w:rsid w:val="002D5422"/>
    <w:rsid w:val="002D5FF7"/>
    <w:rsid w:val="002E3274"/>
    <w:rsid w:val="002E3BEE"/>
    <w:rsid w:val="002E6A5D"/>
    <w:rsid w:val="002E7DA9"/>
    <w:rsid w:val="002F2A54"/>
    <w:rsid w:val="002F4527"/>
    <w:rsid w:val="002F4DBC"/>
    <w:rsid w:val="002F4EC1"/>
    <w:rsid w:val="003135CA"/>
    <w:rsid w:val="00316813"/>
    <w:rsid w:val="00324526"/>
    <w:rsid w:val="0032558F"/>
    <w:rsid w:val="003457F1"/>
    <w:rsid w:val="00351AA9"/>
    <w:rsid w:val="00356E01"/>
    <w:rsid w:val="00361107"/>
    <w:rsid w:val="00363AB2"/>
    <w:rsid w:val="00370848"/>
    <w:rsid w:val="00377868"/>
    <w:rsid w:val="003779EB"/>
    <w:rsid w:val="003830CD"/>
    <w:rsid w:val="00384DE1"/>
    <w:rsid w:val="00394397"/>
    <w:rsid w:val="00394BFB"/>
    <w:rsid w:val="003B1A50"/>
    <w:rsid w:val="003B36A2"/>
    <w:rsid w:val="003C0131"/>
    <w:rsid w:val="003C0DE8"/>
    <w:rsid w:val="003C1EF2"/>
    <w:rsid w:val="003C27F5"/>
    <w:rsid w:val="003D280D"/>
    <w:rsid w:val="003D2B06"/>
    <w:rsid w:val="003D2EBD"/>
    <w:rsid w:val="003D436F"/>
    <w:rsid w:val="003D45AE"/>
    <w:rsid w:val="003D5829"/>
    <w:rsid w:val="003E58ED"/>
    <w:rsid w:val="003E7035"/>
    <w:rsid w:val="003F1CA3"/>
    <w:rsid w:val="003F6CF4"/>
    <w:rsid w:val="00401554"/>
    <w:rsid w:val="00406377"/>
    <w:rsid w:val="004141AB"/>
    <w:rsid w:val="0042237E"/>
    <w:rsid w:val="00423CAF"/>
    <w:rsid w:val="00444AC6"/>
    <w:rsid w:val="00446620"/>
    <w:rsid w:val="004536A3"/>
    <w:rsid w:val="00460E35"/>
    <w:rsid w:val="004703B8"/>
    <w:rsid w:val="004749AD"/>
    <w:rsid w:val="00475A9C"/>
    <w:rsid w:val="004809B2"/>
    <w:rsid w:val="004931A7"/>
    <w:rsid w:val="00495473"/>
    <w:rsid w:val="004A1413"/>
    <w:rsid w:val="004B1792"/>
    <w:rsid w:val="004B1BC2"/>
    <w:rsid w:val="004B50F9"/>
    <w:rsid w:val="004B5B11"/>
    <w:rsid w:val="004C5118"/>
    <w:rsid w:val="004C51C3"/>
    <w:rsid w:val="004D042E"/>
    <w:rsid w:val="004D5AD9"/>
    <w:rsid w:val="004D5CF1"/>
    <w:rsid w:val="004E36AF"/>
    <w:rsid w:val="004F1908"/>
    <w:rsid w:val="0050157D"/>
    <w:rsid w:val="0050192C"/>
    <w:rsid w:val="005152BC"/>
    <w:rsid w:val="00517395"/>
    <w:rsid w:val="00522CC1"/>
    <w:rsid w:val="00523961"/>
    <w:rsid w:val="005256FB"/>
    <w:rsid w:val="00527193"/>
    <w:rsid w:val="0053035A"/>
    <w:rsid w:val="00537EE3"/>
    <w:rsid w:val="005407E6"/>
    <w:rsid w:val="005416E9"/>
    <w:rsid w:val="0054241A"/>
    <w:rsid w:val="005459AC"/>
    <w:rsid w:val="00546C9C"/>
    <w:rsid w:val="005512B5"/>
    <w:rsid w:val="005526EF"/>
    <w:rsid w:val="005527EB"/>
    <w:rsid w:val="005545E7"/>
    <w:rsid w:val="005639C7"/>
    <w:rsid w:val="005863E8"/>
    <w:rsid w:val="0059210F"/>
    <w:rsid w:val="005949B4"/>
    <w:rsid w:val="00595573"/>
    <w:rsid w:val="005A553B"/>
    <w:rsid w:val="005B27CD"/>
    <w:rsid w:val="005B33FB"/>
    <w:rsid w:val="005B429B"/>
    <w:rsid w:val="005B4D5F"/>
    <w:rsid w:val="005D06A1"/>
    <w:rsid w:val="005D3868"/>
    <w:rsid w:val="005D4DAA"/>
    <w:rsid w:val="005D5A63"/>
    <w:rsid w:val="005D6688"/>
    <w:rsid w:val="0061401D"/>
    <w:rsid w:val="006141E3"/>
    <w:rsid w:val="006270E9"/>
    <w:rsid w:val="006272BC"/>
    <w:rsid w:val="006365BE"/>
    <w:rsid w:val="00642360"/>
    <w:rsid w:val="006445B1"/>
    <w:rsid w:val="00645094"/>
    <w:rsid w:val="00646BA5"/>
    <w:rsid w:val="00651B16"/>
    <w:rsid w:val="006528A1"/>
    <w:rsid w:val="006661FC"/>
    <w:rsid w:val="00667335"/>
    <w:rsid w:val="00685E34"/>
    <w:rsid w:val="006861C2"/>
    <w:rsid w:val="00696BEE"/>
    <w:rsid w:val="006A2671"/>
    <w:rsid w:val="006B5C82"/>
    <w:rsid w:val="006B7322"/>
    <w:rsid w:val="006B7DCC"/>
    <w:rsid w:val="006C3B62"/>
    <w:rsid w:val="006C3FC8"/>
    <w:rsid w:val="006C5D22"/>
    <w:rsid w:val="006C6867"/>
    <w:rsid w:val="006D3CF6"/>
    <w:rsid w:val="006E0C53"/>
    <w:rsid w:val="006E0DAB"/>
    <w:rsid w:val="006E3825"/>
    <w:rsid w:val="006E4B31"/>
    <w:rsid w:val="006E5C41"/>
    <w:rsid w:val="006F4630"/>
    <w:rsid w:val="00710160"/>
    <w:rsid w:val="00715B1D"/>
    <w:rsid w:val="00724280"/>
    <w:rsid w:val="007274A5"/>
    <w:rsid w:val="007320F6"/>
    <w:rsid w:val="007330BC"/>
    <w:rsid w:val="00733A36"/>
    <w:rsid w:val="00746607"/>
    <w:rsid w:val="00746ADA"/>
    <w:rsid w:val="0075057F"/>
    <w:rsid w:val="007532DB"/>
    <w:rsid w:val="00754E25"/>
    <w:rsid w:val="00767D0F"/>
    <w:rsid w:val="00772147"/>
    <w:rsid w:val="007759C4"/>
    <w:rsid w:val="00784103"/>
    <w:rsid w:val="00791B50"/>
    <w:rsid w:val="00794A71"/>
    <w:rsid w:val="007A08AE"/>
    <w:rsid w:val="007A100A"/>
    <w:rsid w:val="007A27B3"/>
    <w:rsid w:val="007A3444"/>
    <w:rsid w:val="007B58EC"/>
    <w:rsid w:val="007C101F"/>
    <w:rsid w:val="007C5889"/>
    <w:rsid w:val="007C5C6F"/>
    <w:rsid w:val="007E4060"/>
    <w:rsid w:val="007E6FDA"/>
    <w:rsid w:val="007F42BA"/>
    <w:rsid w:val="007F5E5A"/>
    <w:rsid w:val="00802E53"/>
    <w:rsid w:val="00811D55"/>
    <w:rsid w:val="00826C44"/>
    <w:rsid w:val="00830D30"/>
    <w:rsid w:val="008312EA"/>
    <w:rsid w:val="00832FA8"/>
    <w:rsid w:val="008418EC"/>
    <w:rsid w:val="00841BCB"/>
    <w:rsid w:val="00842FF4"/>
    <w:rsid w:val="0084388F"/>
    <w:rsid w:val="008449E0"/>
    <w:rsid w:val="00846600"/>
    <w:rsid w:val="00847202"/>
    <w:rsid w:val="00850208"/>
    <w:rsid w:val="008579D3"/>
    <w:rsid w:val="00860768"/>
    <w:rsid w:val="00860B54"/>
    <w:rsid w:val="0086110C"/>
    <w:rsid w:val="008664F8"/>
    <w:rsid w:val="00871EC6"/>
    <w:rsid w:val="00883DEF"/>
    <w:rsid w:val="008866E1"/>
    <w:rsid w:val="0088749E"/>
    <w:rsid w:val="00891052"/>
    <w:rsid w:val="008932A8"/>
    <w:rsid w:val="00894115"/>
    <w:rsid w:val="008950E7"/>
    <w:rsid w:val="00897833"/>
    <w:rsid w:val="008A0DBF"/>
    <w:rsid w:val="008A0F3C"/>
    <w:rsid w:val="008A1C98"/>
    <w:rsid w:val="008A2D8E"/>
    <w:rsid w:val="008A5634"/>
    <w:rsid w:val="008B0BF4"/>
    <w:rsid w:val="008B725E"/>
    <w:rsid w:val="008C16B6"/>
    <w:rsid w:val="008D76A5"/>
    <w:rsid w:val="008E02AD"/>
    <w:rsid w:val="008E24D2"/>
    <w:rsid w:val="008E30B3"/>
    <w:rsid w:val="008F2135"/>
    <w:rsid w:val="008F3D0B"/>
    <w:rsid w:val="008F7478"/>
    <w:rsid w:val="00903450"/>
    <w:rsid w:val="00904471"/>
    <w:rsid w:val="00910CA1"/>
    <w:rsid w:val="009146B9"/>
    <w:rsid w:val="00916950"/>
    <w:rsid w:val="009221C4"/>
    <w:rsid w:val="00923D9A"/>
    <w:rsid w:val="0092757D"/>
    <w:rsid w:val="00932E21"/>
    <w:rsid w:val="00934C6D"/>
    <w:rsid w:val="00943197"/>
    <w:rsid w:val="00944E4C"/>
    <w:rsid w:val="00954455"/>
    <w:rsid w:val="009642BA"/>
    <w:rsid w:val="00967334"/>
    <w:rsid w:val="00971C11"/>
    <w:rsid w:val="009808C0"/>
    <w:rsid w:val="0098288E"/>
    <w:rsid w:val="00984977"/>
    <w:rsid w:val="009900A5"/>
    <w:rsid w:val="0099143F"/>
    <w:rsid w:val="00994B0D"/>
    <w:rsid w:val="009A1554"/>
    <w:rsid w:val="009B15F8"/>
    <w:rsid w:val="009B23C3"/>
    <w:rsid w:val="009B5EF5"/>
    <w:rsid w:val="009C46B8"/>
    <w:rsid w:val="009D10C2"/>
    <w:rsid w:val="009D31A8"/>
    <w:rsid w:val="009D4FE7"/>
    <w:rsid w:val="009D5F93"/>
    <w:rsid w:val="009D6C99"/>
    <w:rsid w:val="009E0870"/>
    <w:rsid w:val="009E46B9"/>
    <w:rsid w:val="009E65B0"/>
    <w:rsid w:val="009E6976"/>
    <w:rsid w:val="009E7F9F"/>
    <w:rsid w:val="009F2D35"/>
    <w:rsid w:val="009F4EA6"/>
    <w:rsid w:val="009F7537"/>
    <w:rsid w:val="00A047C2"/>
    <w:rsid w:val="00A10ABF"/>
    <w:rsid w:val="00A16E02"/>
    <w:rsid w:val="00A22169"/>
    <w:rsid w:val="00A319C9"/>
    <w:rsid w:val="00A31FE0"/>
    <w:rsid w:val="00A321A2"/>
    <w:rsid w:val="00A34A7A"/>
    <w:rsid w:val="00A35CC2"/>
    <w:rsid w:val="00A41A1F"/>
    <w:rsid w:val="00A435EA"/>
    <w:rsid w:val="00A4535C"/>
    <w:rsid w:val="00A51552"/>
    <w:rsid w:val="00A553AB"/>
    <w:rsid w:val="00A63999"/>
    <w:rsid w:val="00A654DB"/>
    <w:rsid w:val="00A700FD"/>
    <w:rsid w:val="00A7443C"/>
    <w:rsid w:val="00A7496C"/>
    <w:rsid w:val="00A83FBD"/>
    <w:rsid w:val="00A84A83"/>
    <w:rsid w:val="00A86077"/>
    <w:rsid w:val="00A94F9E"/>
    <w:rsid w:val="00A96C14"/>
    <w:rsid w:val="00AA28DE"/>
    <w:rsid w:val="00AA42B5"/>
    <w:rsid w:val="00AA64B1"/>
    <w:rsid w:val="00AC4A8E"/>
    <w:rsid w:val="00AC6378"/>
    <w:rsid w:val="00B05B14"/>
    <w:rsid w:val="00B069F1"/>
    <w:rsid w:val="00B125A9"/>
    <w:rsid w:val="00B17D1B"/>
    <w:rsid w:val="00B26F97"/>
    <w:rsid w:val="00B357AE"/>
    <w:rsid w:val="00B400FE"/>
    <w:rsid w:val="00B46BD0"/>
    <w:rsid w:val="00B56D59"/>
    <w:rsid w:val="00B619FB"/>
    <w:rsid w:val="00B6419D"/>
    <w:rsid w:val="00B65D34"/>
    <w:rsid w:val="00B65F89"/>
    <w:rsid w:val="00B72EC6"/>
    <w:rsid w:val="00B7773B"/>
    <w:rsid w:val="00BB4C41"/>
    <w:rsid w:val="00BB53AD"/>
    <w:rsid w:val="00BB54DA"/>
    <w:rsid w:val="00BB5CF4"/>
    <w:rsid w:val="00BD3899"/>
    <w:rsid w:val="00BD414C"/>
    <w:rsid w:val="00BD65C9"/>
    <w:rsid w:val="00BE5981"/>
    <w:rsid w:val="00BF4AE0"/>
    <w:rsid w:val="00BF61F5"/>
    <w:rsid w:val="00C032FD"/>
    <w:rsid w:val="00C16A66"/>
    <w:rsid w:val="00C24FE3"/>
    <w:rsid w:val="00C26B27"/>
    <w:rsid w:val="00C27B21"/>
    <w:rsid w:val="00C3128E"/>
    <w:rsid w:val="00C34075"/>
    <w:rsid w:val="00C34B59"/>
    <w:rsid w:val="00C3584E"/>
    <w:rsid w:val="00C37693"/>
    <w:rsid w:val="00C414BB"/>
    <w:rsid w:val="00C46500"/>
    <w:rsid w:val="00C47E15"/>
    <w:rsid w:val="00C5005D"/>
    <w:rsid w:val="00C52A44"/>
    <w:rsid w:val="00C52F73"/>
    <w:rsid w:val="00C572AA"/>
    <w:rsid w:val="00C57B09"/>
    <w:rsid w:val="00C65CF3"/>
    <w:rsid w:val="00C719B9"/>
    <w:rsid w:val="00C77B5B"/>
    <w:rsid w:val="00C81020"/>
    <w:rsid w:val="00C916AF"/>
    <w:rsid w:val="00CA07C1"/>
    <w:rsid w:val="00CB0ADF"/>
    <w:rsid w:val="00CB1292"/>
    <w:rsid w:val="00CB302E"/>
    <w:rsid w:val="00CC2A24"/>
    <w:rsid w:val="00CC4D33"/>
    <w:rsid w:val="00CC5538"/>
    <w:rsid w:val="00CD1021"/>
    <w:rsid w:val="00CF396D"/>
    <w:rsid w:val="00CF62B3"/>
    <w:rsid w:val="00D053FF"/>
    <w:rsid w:val="00D11F49"/>
    <w:rsid w:val="00D247AF"/>
    <w:rsid w:val="00D32FBE"/>
    <w:rsid w:val="00D339FE"/>
    <w:rsid w:val="00D360A0"/>
    <w:rsid w:val="00D40323"/>
    <w:rsid w:val="00D40F70"/>
    <w:rsid w:val="00D41DBF"/>
    <w:rsid w:val="00D46313"/>
    <w:rsid w:val="00D5006F"/>
    <w:rsid w:val="00D51EB6"/>
    <w:rsid w:val="00D56243"/>
    <w:rsid w:val="00D60C21"/>
    <w:rsid w:val="00D76696"/>
    <w:rsid w:val="00D90E04"/>
    <w:rsid w:val="00D94B94"/>
    <w:rsid w:val="00D9536B"/>
    <w:rsid w:val="00DA4921"/>
    <w:rsid w:val="00DA79A8"/>
    <w:rsid w:val="00DB0B3D"/>
    <w:rsid w:val="00DB2929"/>
    <w:rsid w:val="00DB3F7D"/>
    <w:rsid w:val="00DC000F"/>
    <w:rsid w:val="00DC086C"/>
    <w:rsid w:val="00DD35CF"/>
    <w:rsid w:val="00DD3A05"/>
    <w:rsid w:val="00DD3C78"/>
    <w:rsid w:val="00DD4122"/>
    <w:rsid w:val="00DD43C2"/>
    <w:rsid w:val="00DD4BCA"/>
    <w:rsid w:val="00DD6E97"/>
    <w:rsid w:val="00DF3542"/>
    <w:rsid w:val="00DF4D13"/>
    <w:rsid w:val="00DF632C"/>
    <w:rsid w:val="00E11621"/>
    <w:rsid w:val="00E11859"/>
    <w:rsid w:val="00E1252E"/>
    <w:rsid w:val="00E129B4"/>
    <w:rsid w:val="00E131E6"/>
    <w:rsid w:val="00E13C21"/>
    <w:rsid w:val="00E16681"/>
    <w:rsid w:val="00E30508"/>
    <w:rsid w:val="00E40617"/>
    <w:rsid w:val="00E44E8F"/>
    <w:rsid w:val="00E617B5"/>
    <w:rsid w:val="00E70314"/>
    <w:rsid w:val="00E7266F"/>
    <w:rsid w:val="00E746DF"/>
    <w:rsid w:val="00E74E79"/>
    <w:rsid w:val="00E752AF"/>
    <w:rsid w:val="00E81D52"/>
    <w:rsid w:val="00E86B6E"/>
    <w:rsid w:val="00E9053C"/>
    <w:rsid w:val="00E91206"/>
    <w:rsid w:val="00E921AF"/>
    <w:rsid w:val="00E938BB"/>
    <w:rsid w:val="00E96632"/>
    <w:rsid w:val="00EA1CD0"/>
    <w:rsid w:val="00EA771B"/>
    <w:rsid w:val="00EB1B57"/>
    <w:rsid w:val="00EB5635"/>
    <w:rsid w:val="00EC552E"/>
    <w:rsid w:val="00EC5B2A"/>
    <w:rsid w:val="00EC75D4"/>
    <w:rsid w:val="00EC7918"/>
    <w:rsid w:val="00EC7E27"/>
    <w:rsid w:val="00ED4EC2"/>
    <w:rsid w:val="00ED5D8C"/>
    <w:rsid w:val="00ED7887"/>
    <w:rsid w:val="00ED7E71"/>
    <w:rsid w:val="00EE06A4"/>
    <w:rsid w:val="00EE52A0"/>
    <w:rsid w:val="00EF4C28"/>
    <w:rsid w:val="00EF4C3F"/>
    <w:rsid w:val="00F10FC6"/>
    <w:rsid w:val="00F12E48"/>
    <w:rsid w:val="00F2066A"/>
    <w:rsid w:val="00F22859"/>
    <w:rsid w:val="00F32335"/>
    <w:rsid w:val="00F33F9D"/>
    <w:rsid w:val="00F36CAF"/>
    <w:rsid w:val="00F36E8C"/>
    <w:rsid w:val="00F416BA"/>
    <w:rsid w:val="00F420C8"/>
    <w:rsid w:val="00F54B1F"/>
    <w:rsid w:val="00F5700B"/>
    <w:rsid w:val="00F61148"/>
    <w:rsid w:val="00F61EB2"/>
    <w:rsid w:val="00F6542C"/>
    <w:rsid w:val="00F66BD6"/>
    <w:rsid w:val="00F67B1E"/>
    <w:rsid w:val="00F759B9"/>
    <w:rsid w:val="00F75F73"/>
    <w:rsid w:val="00F76AF4"/>
    <w:rsid w:val="00F800C8"/>
    <w:rsid w:val="00F806C0"/>
    <w:rsid w:val="00F82E04"/>
    <w:rsid w:val="00F9081C"/>
    <w:rsid w:val="00F91835"/>
    <w:rsid w:val="00F949C6"/>
    <w:rsid w:val="00F95A49"/>
    <w:rsid w:val="00F9624D"/>
    <w:rsid w:val="00F9681C"/>
    <w:rsid w:val="00FA0228"/>
    <w:rsid w:val="00FA3AB7"/>
    <w:rsid w:val="00FB0972"/>
    <w:rsid w:val="00FB4D9B"/>
    <w:rsid w:val="00FC09B9"/>
    <w:rsid w:val="00FC0C8B"/>
    <w:rsid w:val="00FC7314"/>
    <w:rsid w:val="00FE0900"/>
    <w:rsid w:val="00FE18B8"/>
    <w:rsid w:val="00FE35FC"/>
    <w:rsid w:val="00FE4CA5"/>
    <w:rsid w:val="00FE7166"/>
    <w:rsid w:val="00FF0662"/>
    <w:rsid w:val="00FF6187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6BA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0F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C22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C3584E"/>
    <w:rPr>
      <w:b/>
      <w:bCs/>
    </w:rPr>
  </w:style>
  <w:style w:type="table" w:styleId="TableGrid">
    <w:name w:val="Table Grid"/>
    <w:basedOn w:val="TableNormal"/>
    <w:uiPriority w:val="59"/>
    <w:rsid w:val="00501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8C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36C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6C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10F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05B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05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5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4B9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B9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B9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B94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842F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nhideWhenUsed/>
    <w:rsid w:val="00842FF4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400FE"/>
  </w:style>
  <w:style w:type="paragraph" w:customStyle="1" w:styleId="Normal0">
    <w:name w:val="[Normal]"/>
    <w:rsid w:val="00B400FE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abzacixml">
    <w:name w:val="abzaci_xml"/>
    <w:basedOn w:val="PlainText"/>
    <w:link w:val="abzacixmlChar"/>
    <w:autoRedefine/>
    <w:qFormat/>
    <w:rsid w:val="00B400FE"/>
    <w:pPr>
      <w:spacing w:before="240" w:line="276" w:lineRule="auto"/>
      <w:ind w:firstLine="567"/>
      <w:jc w:val="both"/>
    </w:pPr>
    <w:rPr>
      <w:rFonts w:ascii="Sylfaen" w:eastAsia="Times New Roman" w:hAnsi="Sylfaen" w:cs="Sylfaen"/>
      <w:sz w:val="22"/>
      <w:szCs w:val="22"/>
      <w:lang w:val="ka-GE"/>
    </w:rPr>
  </w:style>
  <w:style w:type="character" w:customStyle="1" w:styleId="abzacixmlChar">
    <w:name w:val="abzaci_xml Char"/>
    <w:basedOn w:val="DefaultParagraphFont"/>
    <w:link w:val="abzacixml"/>
    <w:locked/>
    <w:rsid w:val="00B400FE"/>
    <w:rPr>
      <w:rFonts w:ascii="Sylfaen" w:eastAsia="Times New Roman" w:hAnsi="Sylfaen" w:cs="Sylfaen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400FE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00FE"/>
    <w:rPr>
      <w:rFonts w:ascii="Consolas" w:hAnsi="Consolas" w:cs="Consolas"/>
      <w:sz w:val="21"/>
      <w:szCs w:val="21"/>
    </w:rPr>
  </w:style>
  <w:style w:type="numbering" w:customStyle="1" w:styleId="NoList2">
    <w:name w:val="No List2"/>
    <w:next w:val="NoList"/>
    <w:semiHidden/>
    <w:rsid w:val="008D76A5"/>
  </w:style>
  <w:style w:type="paragraph" w:styleId="z-TopofForm">
    <w:name w:val="HTML Top of Form"/>
    <w:basedOn w:val="Normal"/>
    <w:next w:val="Normal"/>
    <w:link w:val="z-TopofFormChar"/>
    <w:hidden/>
    <w:rsid w:val="008D76A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8D76A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8D76A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8D76A5"/>
    <w:rPr>
      <w:rFonts w:ascii="Arial" w:eastAsia="Times New Roman" w:hAnsi="Arial" w:cs="Arial"/>
      <w:vanish/>
      <w:sz w:val="16"/>
      <w:szCs w:val="16"/>
    </w:rPr>
  </w:style>
  <w:style w:type="character" w:customStyle="1" w:styleId="editme">
    <w:name w:val="edit_me"/>
    <w:basedOn w:val="DefaultParagraphFont"/>
    <w:rsid w:val="008D76A5"/>
  </w:style>
  <w:style w:type="paragraph" w:styleId="NormalWeb">
    <w:name w:val="Normal (Web)"/>
    <w:basedOn w:val="Normal"/>
    <w:uiPriority w:val="99"/>
    <w:rsid w:val="008D76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qFormat/>
    <w:rsid w:val="008D76A5"/>
    <w:rPr>
      <w:i/>
      <w:iCs/>
    </w:rPr>
  </w:style>
  <w:style w:type="paragraph" w:customStyle="1" w:styleId="copyright">
    <w:name w:val="copyright"/>
    <w:basedOn w:val="Normal"/>
    <w:rsid w:val="008D76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reatedin">
    <w:name w:val="createdin"/>
    <w:basedOn w:val="Normal"/>
    <w:rsid w:val="008D76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LightList-Accent1">
    <w:name w:val="Light List Accent 1"/>
    <w:basedOn w:val="TableNormal"/>
    <w:uiPriority w:val="61"/>
    <w:rsid w:val="00A16E0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olorfulList-Accent1">
    <w:name w:val="Colorful List Accent 1"/>
    <w:basedOn w:val="TableNormal"/>
    <w:uiPriority w:val="72"/>
    <w:rsid w:val="00A16E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MediumList1-Accent1">
    <w:name w:val="Medium List 1 Accent 1"/>
    <w:basedOn w:val="TableNormal"/>
    <w:uiPriority w:val="65"/>
    <w:rsid w:val="00A16E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Shading-Accent1">
    <w:name w:val="Light Shading Accent 1"/>
    <w:basedOn w:val="TableNormal"/>
    <w:uiPriority w:val="60"/>
    <w:rsid w:val="00A16E0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16E0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uiPriority w:val="67"/>
    <w:rsid w:val="00A16E0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C5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6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62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628"/>
    <w:rPr>
      <w:rFonts w:ascii="Calibri" w:eastAsia="Times New Roman" w:hAnsi="Calibri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D45AE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D45A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D45AE"/>
    <w:pPr>
      <w:spacing w:after="100"/>
    </w:pPr>
    <w:rPr>
      <w:rFonts w:asciiTheme="minorHAnsi" w:eastAsiaTheme="minorEastAsia" w:hAnsiTheme="minorHAnsi" w:cstheme="minorBidi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D45AE"/>
    <w:pPr>
      <w:spacing w:after="100"/>
      <w:ind w:left="440"/>
    </w:pPr>
    <w:rPr>
      <w:rFonts w:asciiTheme="minorHAnsi" w:eastAsiaTheme="minorEastAsia" w:hAnsiTheme="minorHAnsi" w:cstheme="minorBidi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247F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Light1">
    <w:name w:val="Table Grid Light1"/>
    <w:basedOn w:val="TableNormal"/>
    <w:uiPriority w:val="40"/>
    <w:rsid w:val="005D66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6BA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0F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C22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C3584E"/>
    <w:rPr>
      <w:b/>
      <w:bCs/>
    </w:rPr>
  </w:style>
  <w:style w:type="table" w:styleId="TableGrid">
    <w:name w:val="Table Grid"/>
    <w:basedOn w:val="TableNormal"/>
    <w:uiPriority w:val="59"/>
    <w:rsid w:val="00501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8C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36C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6C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10F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05B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05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5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4B9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B9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B9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B94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842F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nhideWhenUsed/>
    <w:rsid w:val="00842FF4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400FE"/>
  </w:style>
  <w:style w:type="paragraph" w:customStyle="1" w:styleId="Normal0">
    <w:name w:val="[Normal]"/>
    <w:rsid w:val="00B400FE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abzacixml">
    <w:name w:val="abzaci_xml"/>
    <w:basedOn w:val="PlainText"/>
    <w:link w:val="abzacixmlChar"/>
    <w:autoRedefine/>
    <w:qFormat/>
    <w:rsid w:val="00B400FE"/>
    <w:pPr>
      <w:spacing w:before="240" w:line="276" w:lineRule="auto"/>
      <w:ind w:firstLine="567"/>
      <w:jc w:val="both"/>
    </w:pPr>
    <w:rPr>
      <w:rFonts w:ascii="Sylfaen" w:eastAsia="Times New Roman" w:hAnsi="Sylfaen" w:cs="Sylfaen"/>
      <w:sz w:val="22"/>
      <w:szCs w:val="22"/>
      <w:lang w:val="ka-GE"/>
    </w:rPr>
  </w:style>
  <w:style w:type="character" w:customStyle="1" w:styleId="abzacixmlChar">
    <w:name w:val="abzaci_xml Char"/>
    <w:basedOn w:val="DefaultParagraphFont"/>
    <w:link w:val="abzacixml"/>
    <w:locked/>
    <w:rsid w:val="00B400FE"/>
    <w:rPr>
      <w:rFonts w:ascii="Sylfaen" w:eastAsia="Times New Roman" w:hAnsi="Sylfaen" w:cs="Sylfaen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400FE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00FE"/>
    <w:rPr>
      <w:rFonts w:ascii="Consolas" w:hAnsi="Consolas" w:cs="Consolas"/>
      <w:sz w:val="21"/>
      <w:szCs w:val="21"/>
    </w:rPr>
  </w:style>
  <w:style w:type="numbering" w:customStyle="1" w:styleId="NoList2">
    <w:name w:val="No List2"/>
    <w:next w:val="NoList"/>
    <w:semiHidden/>
    <w:rsid w:val="008D76A5"/>
  </w:style>
  <w:style w:type="paragraph" w:styleId="z-TopofForm">
    <w:name w:val="HTML Top of Form"/>
    <w:basedOn w:val="Normal"/>
    <w:next w:val="Normal"/>
    <w:link w:val="z-TopofFormChar"/>
    <w:hidden/>
    <w:rsid w:val="008D76A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8D76A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8D76A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8D76A5"/>
    <w:rPr>
      <w:rFonts w:ascii="Arial" w:eastAsia="Times New Roman" w:hAnsi="Arial" w:cs="Arial"/>
      <w:vanish/>
      <w:sz w:val="16"/>
      <w:szCs w:val="16"/>
    </w:rPr>
  </w:style>
  <w:style w:type="character" w:customStyle="1" w:styleId="editme">
    <w:name w:val="edit_me"/>
    <w:basedOn w:val="DefaultParagraphFont"/>
    <w:rsid w:val="008D76A5"/>
  </w:style>
  <w:style w:type="paragraph" w:styleId="NormalWeb">
    <w:name w:val="Normal (Web)"/>
    <w:basedOn w:val="Normal"/>
    <w:uiPriority w:val="99"/>
    <w:rsid w:val="008D76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qFormat/>
    <w:rsid w:val="008D76A5"/>
    <w:rPr>
      <w:i/>
      <w:iCs/>
    </w:rPr>
  </w:style>
  <w:style w:type="paragraph" w:customStyle="1" w:styleId="copyright">
    <w:name w:val="copyright"/>
    <w:basedOn w:val="Normal"/>
    <w:rsid w:val="008D76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reatedin">
    <w:name w:val="createdin"/>
    <w:basedOn w:val="Normal"/>
    <w:rsid w:val="008D76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LightList-Accent1">
    <w:name w:val="Light List Accent 1"/>
    <w:basedOn w:val="TableNormal"/>
    <w:uiPriority w:val="61"/>
    <w:rsid w:val="00A16E0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olorfulList-Accent1">
    <w:name w:val="Colorful List Accent 1"/>
    <w:basedOn w:val="TableNormal"/>
    <w:uiPriority w:val="72"/>
    <w:rsid w:val="00A16E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MediumList1-Accent1">
    <w:name w:val="Medium List 1 Accent 1"/>
    <w:basedOn w:val="TableNormal"/>
    <w:uiPriority w:val="65"/>
    <w:rsid w:val="00A16E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Shading-Accent1">
    <w:name w:val="Light Shading Accent 1"/>
    <w:basedOn w:val="TableNormal"/>
    <w:uiPriority w:val="60"/>
    <w:rsid w:val="00A16E0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16E0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uiPriority w:val="67"/>
    <w:rsid w:val="00A16E0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C5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6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62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628"/>
    <w:rPr>
      <w:rFonts w:ascii="Calibri" w:eastAsia="Times New Roman" w:hAnsi="Calibri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D45AE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D45A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D45AE"/>
    <w:pPr>
      <w:spacing w:after="100"/>
    </w:pPr>
    <w:rPr>
      <w:rFonts w:asciiTheme="minorHAnsi" w:eastAsiaTheme="minorEastAsia" w:hAnsiTheme="minorHAnsi" w:cstheme="minorBidi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D45AE"/>
    <w:pPr>
      <w:spacing w:after="100"/>
      <w:ind w:left="440"/>
    </w:pPr>
    <w:rPr>
      <w:rFonts w:asciiTheme="minorHAnsi" w:eastAsiaTheme="minorEastAsia" w:hAnsiTheme="minorHAnsi" w:cstheme="minorBidi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247F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Light1">
    <w:name w:val="Table Grid Light1"/>
    <w:basedOn w:val="TableNormal"/>
    <w:uiPriority w:val="40"/>
    <w:rsid w:val="005D66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 წ.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1E16E0-86BA-4E7F-8B10-BB1523EF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2718</Words>
  <Characters>15499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შიდა აუდიტის დეპარტამენტი</vt:lpstr>
      <vt:lpstr/>
    </vt:vector>
  </TitlesOfParts>
  <Company/>
  <LinksUpToDate>false</LinksUpToDate>
  <CharactersWithSpaces>18181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შიდა აუდიტის დეპარტამენტი</dc:title>
  <dc:creator>kdzimisratishvili</dc:creator>
  <cp:lastModifiedBy>Eka Sharadze</cp:lastModifiedBy>
  <cp:revision>19</cp:revision>
  <cp:lastPrinted>2017-01-24T12:50:00Z</cp:lastPrinted>
  <dcterms:created xsi:type="dcterms:W3CDTF">2016-12-26T11:09:00Z</dcterms:created>
  <dcterms:modified xsi:type="dcterms:W3CDTF">2017-01-25T06:29:00Z</dcterms:modified>
</cp:coreProperties>
</file>